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黑体" w:hAnsi="黑体" w:eastAsia="黑体" w:cs="宋体"/>
          <w:color w:val="000000"/>
          <w:kern w:val="0"/>
          <w:sz w:val="36"/>
          <w:szCs w:val="21"/>
        </w:rPr>
      </w:pPr>
      <w:r>
        <w:rPr>
          <w:rFonts w:hint="eastAsia" w:ascii="黑体" w:hAnsi="黑体" w:eastAsia="黑体" w:cs="宋体"/>
          <w:color w:val="000000"/>
          <w:kern w:val="0"/>
          <w:sz w:val="36"/>
          <w:szCs w:val="21"/>
        </w:rPr>
        <w:t>江苏</w:t>
      </w:r>
      <w:r>
        <w:rPr>
          <w:rFonts w:ascii="黑体" w:hAnsi="黑体" w:eastAsia="黑体" w:cs="宋体"/>
          <w:color w:val="000000"/>
          <w:kern w:val="0"/>
          <w:sz w:val="36"/>
          <w:szCs w:val="21"/>
        </w:rPr>
        <w:t>省泰兴中等专业学校</w:t>
      </w:r>
    </w:p>
    <w:p>
      <w:pPr>
        <w:widowControl/>
        <w:spacing w:line="440" w:lineRule="exact"/>
        <w:jc w:val="center"/>
        <w:rPr>
          <w:rFonts w:ascii="黑体" w:hAnsi="黑体" w:eastAsia="黑体" w:cs="宋体"/>
          <w:color w:val="000000"/>
          <w:kern w:val="0"/>
          <w:sz w:val="36"/>
          <w:szCs w:val="21"/>
        </w:rPr>
      </w:pPr>
      <w:r>
        <w:rPr>
          <w:rFonts w:hint="eastAsia" w:ascii="黑体" w:hAnsi="黑体" w:eastAsia="黑体" w:cs="宋体"/>
          <w:color w:val="000000"/>
          <w:kern w:val="0"/>
          <w:sz w:val="36"/>
          <w:szCs w:val="21"/>
        </w:rPr>
        <w:t>20</w:t>
      </w:r>
      <w:r>
        <w:rPr>
          <w:rFonts w:ascii="黑体" w:hAnsi="黑体" w:eastAsia="黑体" w:cs="宋体"/>
          <w:color w:val="000000"/>
          <w:kern w:val="0"/>
          <w:sz w:val="36"/>
          <w:szCs w:val="21"/>
        </w:rPr>
        <w:t>2</w:t>
      </w:r>
      <w:r>
        <w:rPr>
          <w:rFonts w:hint="eastAsia" w:ascii="黑体" w:hAnsi="黑体" w:eastAsia="黑体" w:cs="宋体"/>
          <w:color w:val="000000"/>
          <w:kern w:val="0"/>
          <w:sz w:val="36"/>
          <w:szCs w:val="21"/>
          <w:lang w:val="en-US" w:eastAsia="zh-CN"/>
        </w:rPr>
        <w:t>3</w:t>
      </w:r>
      <w:bookmarkStart w:id="0" w:name="_GoBack"/>
      <w:bookmarkEnd w:id="0"/>
      <w:r>
        <w:rPr>
          <w:rFonts w:hint="eastAsia" w:ascii="黑体" w:hAnsi="黑体" w:eastAsia="黑体" w:cs="宋体"/>
          <w:color w:val="000000"/>
          <w:kern w:val="0"/>
          <w:sz w:val="36"/>
          <w:szCs w:val="21"/>
        </w:rPr>
        <w:t>年度校级课题申报指南</w:t>
      </w:r>
    </w:p>
    <w:p>
      <w:pPr>
        <w:widowControl/>
        <w:spacing w:line="360" w:lineRule="auto"/>
        <w:ind w:firstLine="420" w:firstLineChars="200"/>
        <w:jc w:val="left"/>
        <w:rPr>
          <w:rFonts w:ascii="宋体" w:hAnsi="宋体" w:eastAsia="宋体" w:cs="宋体"/>
          <w:color w:val="000000"/>
          <w:kern w:val="0"/>
          <w:szCs w:val="21"/>
        </w:rPr>
      </w:pP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校级教师课题研究切口小、周期短、见效快，是教师以反思实践为特点的教学科研，是教师以课堂为起点解决实际问题的科研，是教师自我提高、自我完善、自我发展的科研。校级课题研究是在教中研、在研中教，研究的过程就是教育教学的过程。校级课题研究的立足点是以校为本，围绕教育教学实际，着力解决制约学校教育教学质量提高的问题。 </w:t>
      </w:r>
    </w:p>
    <w:p>
      <w:pPr>
        <w:widowControl/>
        <w:spacing w:line="360" w:lineRule="auto"/>
        <w:ind w:firstLine="422" w:firstLineChars="200"/>
        <w:jc w:val="left"/>
        <w:rPr>
          <w:rFonts w:ascii="宋体" w:hAnsi="宋体" w:eastAsia="宋体" w:cs="宋体"/>
          <w:b/>
          <w:color w:val="000000"/>
          <w:kern w:val="0"/>
          <w:szCs w:val="21"/>
        </w:rPr>
      </w:pPr>
      <w:r>
        <w:rPr>
          <w:rFonts w:hint="eastAsia" w:ascii="宋体" w:hAnsi="宋体" w:eastAsia="宋体" w:cs="宋体"/>
          <w:b/>
          <w:color w:val="000000"/>
          <w:kern w:val="0"/>
          <w:szCs w:val="21"/>
        </w:rPr>
        <w:t>一、选题的要求</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1．教师可根据课题指南的范围选择课题（指南仅仅是选题的范围和方向，不是具体的课题名称），也可以根据自身需要和条件，提出具有研究价值、自身特色和优势的选题进行申报。 </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校级课题研究的内容来源于教师的教育实践困惑与问题。教师课题贵在一个“实”字，课题要来源于教育教学中的问题、以解决教育教学中的实际问题为主。课题内容由教师个人自己选择，但选题要具体、实在，提出的问题应该是有益的，包括实践意义、理论意义、方法意义；研究的问题切入点要小，研究的内容要相对单一，适合教师开展研究。选题切忌脱离实际，大而空。</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3．选题要有针对性。研究的目的要着眼解决当前工作中存在的问题，要选择自己在教育教学工作中需要解决又有能力解决的问题进行研究。无法驾驭的、不能解决的、对当前工作没有帮助的问题应回避。</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4．选题时要充分考虑到主、客观条件，尽可能选择自己熟悉的，有经验、有积累的，长期关注的，兴趣浓厚的，或自己在某些方面曾有一些思考但研究不够深入的问题进行研究。 </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5．校级课题研究的主要目标是围绕教育教学“提高效率、提高效能、提高质量”，因此，选题和研究的重点要放在教育、教学方法为主。</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6．课题名称的表述要简练、准确，要使用科学概念和规范用语，不要使用具有文学色彩的修辞手法。课题名称要尽可能概括研究的对象及范围、研究的内容和方法，尽可能使用陈述句。</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7．选题的视角要有新意，要突出研究内容的个性和特色，可以将自己熟悉的一种科学理论或观点应用到实际教育教学工作中去；也可以借鉴、运用他人的成果，结合自己的实际改进教育教学方法，探索提高教育教学质量的途径。 </w:t>
      </w:r>
    </w:p>
    <w:p>
      <w:pPr>
        <w:widowControl/>
        <w:spacing w:line="360" w:lineRule="auto"/>
        <w:ind w:firstLine="422" w:firstLineChars="200"/>
        <w:jc w:val="left"/>
        <w:rPr>
          <w:rFonts w:ascii="宋体" w:hAnsi="宋体" w:eastAsia="宋体" w:cs="宋体"/>
          <w:color w:val="000000"/>
          <w:kern w:val="0"/>
          <w:szCs w:val="21"/>
        </w:rPr>
      </w:pPr>
      <w:r>
        <w:rPr>
          <w:rFonts w:hint="eastAsia" w:ascii="宋体" w:hAnsi="宋体" w:eastAsia="宋体" w:cs="宋体"/>
          <w:b/>
          <w:color w:val="000000"/>
          <w:kern w:val="0"/>
          <w:szCs w:val="21"/>
        </w:rPr>
        <w:t>二、课题研究的方向与范围</w:t>
      </w:r>
      <w:r>
        <w:rPr>
          <w:rFonts w:hint="eastAsia" w:ascii="宋体" w:hAnsi="宋体" w:eastAsia="宋体" w:cs="宋体"/>
          <w:color w:val="000000"/>
          <w:kern w:val="0"/>
          <w:szCs w:val="21"/>
        </w:rPr>
        <w:t xml:space="preserve">（可根据实际，依据提供的选题点细化到学科或某各具体问题进行研究，也可自拟题目进行研究） </w:t>
      </w:r>
    </w:p>
    <w:p>
      <w:pPr>
        <w:widowControl/>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本申报指南列出的参考研究课题及分类，是对课题研究的领域、申报的范围和方向的提示，申请人在申报课题时可重点参照。课题申报可以直接选用本指南中列出的课题，也可以将相关课题进一步分解细化并自行命题，鼓励申报人根据自己的教学科研工作实际情况，自拟有价值能促进学校发展的自选研究课题进行申报。</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（一）</w:t>
      </w:r>
      <w:r>
        <w:rPr>
          <w:rFonts w:hint="eastAsia" w:ascii="宋体" w:hAnsi="宋体" w:eastAsia="宋体" w:cs="宋体"/>
          <w:color w:val="000000"/>
          <w:kern w:val="0"/>
          <w:szCs w:val="21"/>
        </w:rPr>
        <w:t>立德树人类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立德树人与三全育人机制研究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德技并修育人机制研究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新时代职业院校思政工作改革创新研究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职业院校课程思政建设研究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职业院校文化育人模式（路径）研究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职业院校学生综合素质评价研究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职业院校学生心理健康教育创新研究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职业院校学生学习动机实证研究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“互联网+”背景下德育工作模式创新研究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职业院校社团建设创新研究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（二）</w:t>
      </w:r>
      <w:r>
        <w:rPr>
          <w:rFonts w:hint="eastAsia" w:ascii="宋体" w:hAnsi="宋体" w:eastAsia="宋体" w:cs="宋体"/>
          <w:color w:val="000000"/>
          <w:kern w:val="0"/>
          <w:szCs w:val="21"/>
        </w:rPr>
        <w:t>专业建设类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职业院校专业群建设研究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职业院校产业学院运行机制研究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产教融合育人机制研究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职业教育产教融合治理制度创新研究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产教融合的区域模式研究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高水平专业化产教融合实训基地建设研究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职业技能等级证书融入人才培养的实践研究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岗课赛证综合育人模式研究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职业院校专业同质化问题研究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中国特色学徒制试点的实证研究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基于产业转型升级的专业动态建设机制研究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专业课程标准与职业标准对接研究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区域性（行业性）专业资源库建设研究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w:t>
      </w:r>
      <w:r>
        <w:rPr>
          <w:rFonts w:hint="eastAsia" w:ascii="宋体" w:hAnsi="宋体" w:eastAsia="宋体" w:cs="宋体"/>
          <w:color w:val="000000"/>
          <w:kern w:val="0"/>
          <w:szCs w:val="21"/>
          <w:lang w:eastAsia="zh-CN"/>
        </w:rPr>
        <w:t>学校</w:t>
      </w:r>
      <w:r>
        <w:rPr>
          <w:rFonts w:hint="eastAsia" w:ascii="宋体" w:hAnsi="宋体" w:eastAsia="宋体" w:cs="宋体"/>
          <w:color w:val="000000"/>
          <w:kern w:val="0"/>
          <w:szCs w:val="21"/>
        </w:rPr>
        <w:t>专业标准体系研制理论与方法研究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职业院校专业认证、质量评价与动态调控机制研究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（三）</w:t>
      </w:r>
      <w:r>
        <w:rPr>
          <w:rFonts w:hint="eastAsia" w:ascii="宋体" w:hAnsi="宋体" w:eastAsia="宋体" w:cs="宋体"/>
          <w:color w:val="000000"/>
          <w:kern w:val="0"/>
          <w:szCs w:val="21"/>
        </w:rPr>
        <w:t>课程与教学类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实施长学制技术技能人才培养的实践研究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基于专业群（类）技能教学改革研究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职业院校技能教学模式构建的理论与实践研究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职业院校推进“三教”改革研究 </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职业教育活页式、工作手册式新型教材建设研究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职业院校推进课堂革命的实践研究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基于某一专业的中高职课程与教学衔接的实践研究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职业院校教学诊断与改进机制的实践研究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信息化背景下学与教变革的实践研究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第三方参与教学质量评价研究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基于核心素养培养的公共基础课教学改革研究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名师教学风格的实证研究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职业技能提高与职业精神培养融合的策略研究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职业院校校企合作开发课程的实践研究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专业课程数字化资源共建共享研究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顶岗实习管理创新的实践研究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职业教育实训教学质量监控体系研究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虚拟仿真实训平台建设及效果研究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（四）</w:t>
      </w:r>
      <w:r>
        <w:rPr>
          <w:rFonts w:hint="eastAsia" w:ascii="宋体" w:hAnsi="宋体" w:eastAsia="宋体" w:cs="宋体"/>
          <w:color w:val="000000"/>
          <w:kern w:val="0"/>
          <w:szCs w:val="21"/>
        </w:rPr>
        <w:t>职业培训类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高质量职业培训理论与实践研究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职业院校教师培训及其学习方式研究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职业院校面向行业企业职工培训的实践研究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职业技能培训需求研究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职业院校实训基地发挥社会培训服务功能的实践研究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职业院校创新创业教育课程体系构建研究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农村劳动力转移培训问题研究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校企合作开发职业培训包实践研究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终身学习公共服务平台与模式的案例研究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（五）</w:t>
      </w:r>
      <w:r>
        <w:rPr>
          <w:rFonts w:hint="eastAsia" w:ascii="宋体" w:hAnsi="宋体" w:eastAsia="宋体" w:cs="宋体"/>
          <w:color w:val="000000"/>
          <w:kern w:val="0"/>
          <w:szCs w:val="21"/>
        </w:rPr>
        <w:t>教师专业发展类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职业院校结构化教学创新团队建设研究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职业院校班主任（辅导员）专业素养提升与评价研究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职业院校教师信息化教学能力提升研究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职业院校教师多元评价模式研究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职业院校教师专业发展问题的实证研究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职业院校教师激励保障机制研究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职业学校名师工作室建设实践研究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职业院校基层教学组织建设研究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中职名师成长规律研究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兼职教师队伍建设与管理机制研究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职业院校教师心理健康问题研究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教师参加企业实践培训的案例研究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（六）</w:t>
      </w:r>
      <w:r>
        <w:rPr>
          <w:rFonts w:hint="eastAsia" w:ascii="宋体" w:hAnsi="宋体" w:eastAsia="宋体" w:cs="宋体"/>
          <w:color w:val="000000"/>
          <w:kern w:val="0"/>
          <w:szCs w:val="21"/>
        </w:rPr>
        <w:t>综合类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新发展格局下增强职业技术教育适应性研究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技能型社会的内涵与建设路径研究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职业教育对区域经济社会发展贡献度的实证研究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中国特色学徒制研究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产教融合型企业建设问题研究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专</w:t>
      </w:r>
      <w:r>
        <w:rPr>
          <w:rFonts w:hint="eastAsia" w:ascii="宋体" w:hAnsi="宋体" w:eastAsia="宋体" w:cs="宋体"/>
          <w:color w:val="000000"/>
          <w:kern w:val="0"/>
          <w:szCs w:val="21"/>
        </w:rPr>
        <w:t>科层次职业教育人才培养模式研究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“职教高考”制度改革研究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职业教育“文化素质+职业技能”考试招生改革研究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“职教高考”试题库建设研究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标准化考点建设技术应用研究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职业教育五年制办学的实践研究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长学制技术技能人才贯穿培养研究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职业院校开展劳动教育研究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职业院校劳动教育课程育人实践研究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普通教育与职业教育融通研究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职业教育助力乡村振兴的实践研究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基于类型特征的职业教育评价改革研究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新一代信息技术支撑的教学评价改革研究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苏锡常都市圈职业教育改革创新研究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职业教育服务终身学习体系建设研究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多元共治的教学质量保证机制研究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职业院校品牌建设研究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职业院校学生增值性评价研究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（七）</w:t>
      </w:r>
      <w:r>
        <w:rPr>
          <w:rFonts w:hint="eastAsia" w:ascii="宋体" w:hAnsi="宋体" w:eastAsia="宋体" w:cs="宋体"/>
          <w:color w:val="000000"/>
          <w:kern w:val="0"/>
          <w:szCs w:val="21"/>
        </w:rPr>
        <w:t>智能制造类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产业转型升级背景下智能制造专业群建设研究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服务智能制造新产业的课程开发研究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基于产业学院的数字化教学资源开发研究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工作过程系统化模式下实践项目开发研究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智能制造产教融合集成平台建设研究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（八）</w:t>
      </w:r>
      <w:r>
        <w:rPr>
          <w:rFonts w:hint="eastAsia" w:ascii="宋体" w:hAnsi="宋体" w:eastAsia="宋体" w:cs="宋体"/>
          <w:color w:val="000000"/>
          <w:kern w:val="0"/>
          <w:szCs w:val="21"/>
        </w:rPr>
        <w:t>外语类</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外语类课程思政研究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中华优秀传统文化与外语教学有机融合研究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职教中高本一体化英语教学改革研究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外语教师职业发展研究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外语教育评价改革研究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文化自信视域下职业院校外语教学改革研究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人工智能背景下职业院校外语教学模式创新研究</w:t>
      </w:r>
    </w:p>
    <w:p>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人工智能背景下职业院校学生外语学习方式变革研究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112464"/>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MGNkNTQ5YzIyODk3YzI3MjZjYWJhMTkwNjQwNDEifQ=="/>
  </w:docVars>
  <w:rsids>
    <w:rsidRoot w:val="00E5341B"/>
    <w:rsid w:val="00052FF1"/>
    <w:rsid w:val="000A14EE"/>
    <w:rsid w:val="000E13BA"/>
    <w:rsid w:val="00111CC5"/>
    <w:rsid w:val="00132469"/>
    <w:rsid w:val="001D4CBD"/>
    <w:rsid w:val="002000D3"/>
    <w:rsid w:val="00210656"/>
    <w:rsid w:val="00222FDC"/>
    <w:rsid w:val="002A463E"/>
    <w:rsid w:val="003371CD"/>
    <w:rsid w:val="00352D31"/>
    <w:rsid w:val="003A10A4"/>
    <w:rsid w:val="003F49EF"/>
    <w:rsid w:val="00427A2E"/>
    <w:rsid w:val="00440308"/>
    <w:rsid w:val="00442237"/>
    <w:rsid w:val="004D5D12"/>
    <w:rsid w:val="00566197"/>
    <w:rsid w:val="0057156D"/>
    <w:rsid w:val="005858E8"/>
    <w:rsid w:val="00673B42"/>
    <w:rsid w:val="006B7C5C"/>
    <w:rsid w:val="006E19DC"/>
    <w:rsid w:val="007E69C1"/>
    <w:rsid w:val="0082194F"/>
    <w:rsid w:val="008608DD"/>
    <w:rsid w:val="00873EA3"/>
    <w:rsid w:val="00874C02"/>
    <w:rsid w:val="00923CF9"/>
    <w:rsid w:val="009C1631"/>
    <w:rsid w:val="00AB24F1"/>
    <w:rsid w:val="00B100E5"/>
    <w:rsid w:val="00BB07C1"/>
    <w:rsid w:val="00BC3B8B"/>
    <w:rsid w:val="00BD16C2"/>
    <w:rsid w:val="00BF6B7B"/>
    <w:rsid w:val="00C15838"/>
    <w:rsid w:val="00C42C78"/>
    <w:rsid w:val="00C75541"/>
    <w:rsid w:val="00CA062E"/>
    <w:rsid w:val="00CC51D7"/>
    <w:rsid w:val="00D210F0"/>
    <w:rsid w:val="00D57143"/>
    <w:rsid w:val="00D85858"/>
    <w:rsid w:val="00DA23F6"/>
    <w:rsid w:val="00DD23E4"/>
    <w:rsid w:val="00E5341B"/>
    <w:rsid w:val="00E74EE8"/>
    <w:rsid w:val="00E800A7"/>
    <w:rsid w:val="00EF19BA"/>
    <w:rsid w:val="00F34872"/>
    <w:rsid w:val="00F50ED2"/>
    <w:rsid w:val="00F51723"/>
    <w:rsid w:val="00FC3E1F"/>
    <w:rsid w:val="193C7633"/>
    <w:rsid w:val="19A31216"/>
    <w:rsid w:val="2C7112FC"/>
    <w:rsid w:val="31025165"/>
    <w:rsid w:val="368F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A6B3-2FD6-4985-9369-1C151A42B8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2667</Words>
  <Characters>2670</Characters>
  <Lines>33</Lines>
  <Paragraphs>9</Paragraphs>
  <TotalTime>4</TotalTime>
  <ScaleCrop>false</ScaleCrop>
  <LinksUpToDate>false</LinksUpToDate>
  <CharactersWithSpaces>2706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2021-09-02T00:40:00Z</dcterms:created>
  <dc:creator>Administrator</dc:creator>
  <cp:lastModifiedBy>丁九峰</cp:lastModifiedBy>
  <cp:lastPrinted>2019-09-10T06:34:00Z</cp:lastPrinted>
  <dcterms:modified xsi:type="dcterms:W3CDTF">2023-09-20T00:55:14Z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A16F602766A843369BB395C2F39F4B4C</vt:lpwstr>
  </property>
</Properties>
</file>