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方正小标宋简体"/>
          <w:sz w:val="32"/>
          <w:szCs w:val="32"/>
        </w:rPr>
      </w:pPr>
      <w:r>
        <w:rPr>
          <w:rFonts w:hint="eastAsia" w:ascii="黑体" w:hAnsi="黑体" w:eastAsia="黑体" w:cs="方正小标宋简体"/>
          <w:sz w:val="32"/>
          <w:szCs w:val="32"/>
          <w:lang w:val="zh-CN"/>
        </w:rPr>
        <w:t>附件2-1</w:t>
      </w:r>
      <w:r>
        <w:rPr>
          <w:rFonts w:hint="eastAsia" w:ascii="黑体" w:hAnsi="黑体" w:eastAsia="黑体" w:cs="方正小标宋简体"/>
          <w:sz w:val="32"/>
          <w:szCs w:val="32"/>
        </w:rPr>
        <w:t>3</w:t>
      </w:r>
    </w:p>
    <w:p>
      <w:pPr>
        <w:spacing w:line="360" w:lineRule="auto"/>
        <w:rPr>
          <w:rFonts w:ascii="黑体" w:hAnsi="黑体" w:eastAsia="黑体" w:cs="方正小标宋简体"/>
          <w:sz w:val="32"/>
          <w:szCs w:val="32"/>
          <w:lang w:val="zh-CN"/>
        </w:rPr>
      </w:pPr>
    </w:p>
    <w:p>
      <w:pPr>
        <w:spacing w:line="560" w:lineRule="exact"/>
        <w:rPr>
          <w:rFonts w:ascii="方正小标宋简体" w:hAnsi="方正小标宋简体" w:eastAsia="方正小标宋简体" w:cs="方正小标宋简体"/>
          <w:sz w:val="40"/>
          <w:szCs w:val="40"/>
        </w:rPr>
      </w:pPr>
      <w:r>
        <w:rPr>
          <w:rFonts w:ascii="方正小标宋简体" w:hAnsi="方正小标宋简体" w:eastAsia="方正小标宋简体" w:cs="方正小标宋简体"/>
          <w:sz w:val="40"/>
          <w:szCs w:val="40"/>
        </w:rPr>
        <w:t>2020</w:t>
      </w:r>
      <w:r>
        <w:rPr>
          <w:rFonts w:hint="eastAsia" w:ascii="方正小标宋简体" w:hAnsi="方正小标宋简体" w:eastAsia="方正小标宋简体" w:cs="方正小标宋简体"/>
          <w:sz w:val="40"/>
          <w:szCs w:val="40"/>
        </w:rPr>
        <w:t>年江苏省中等职业学校学生学业水平考试</w:t>
      </w:r>
    </w:p>
    <w:p>
      <w:pPr>
        <w:spacing w:line="56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会计类专业基本技能考试实施方案</w:t>
      </w:r>
    </w:p>
    <w:p>
      <w:pPr>
        <w:spacing w:line="560" w:lineRule="exact"/>
        <w:ind w:firstLine="640" w:firstLineChars="200"/>
        <w:rPr>
          <w:rFonts w:ascii="Times New Roman" w:hAnsi="Times New Roman" w:eastAsia="黑体"/>
          <w:kern w:val="0"/>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黑体"/>
          <w:kern w:val="0"/>
          <w:sz w:val="32"/>
          <w:szCs w:val="32"/>
        </w:rPr>
      </w:pPr>
      <w:r>
        <w:rPr>
          <w:rFonts w:hint="eastAsia" w:ascii="Times New Roman" w:hAnsi="Times New Roman" w:eastAsia="黑体"/>
          <w:kern w:val="0"/>
          <w:sz w:val="32"/>
          <w:szCs w:val="32"/>
        </w:rPr>
        <w:t>一、考试对象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面向全省中等职业学校</w:t>
      </w:r>
      <w:r>
        <w:rPr>
          <w:rFonts w:hint="eastAsia" w:ascii="仿宋_GB2312" w:hAnsi="Times New Roman" w:eastAsia="仿宋_GB2312" w:cs="仿宋"/>
          <w:kern w:val="0"/>
          <w:sz w:val="32"/>
          <w:szCs w:val="32"/>
        </w:rPr>
        <w:t>（含技工院校）</w:t>
      </w:r>
      <w:r>
        <w:rPr>
          <w:rFonts w:ascii="仿宋_GB2312" w:hAnsi="Times New Roman" w:eastAsia="仿宋_GB2312"/>
          <w:kern w:val="0"/>
          <w:sz w:val="32"/>
          <w:szCs w:val="32"/>
        </w:rPr>
        <w:t>2018</w:t>
      </w:r>
      <w:r>
        <w:rPr>
          <w:rFonts w:hint="eastAsia" w:ascii="仿宋_GB2312" w:hAnsi="Times New Roman" w:eastAsia="仿宋_GB2312"/>
          <w:kern w:val="0"/>
          <w:sz w:val="32"/>
          <w:szCs w:val="32"/>
        </w:rPr>
        <w:t>级会计类</w:t>
      </w:r>
      <w:r>
        <w:rPr>
          <w:rFonts w:hint="eastAsia" w:ascii="仿宋_GB2312" w:hAnsi="Times New Roman" w:eastAsia="仿宋_GB2312"/>
          <w:sz w:val="32"/>
          <w:szCs w:val="32"/>
        </w:rPr>
        <w:t>会计</w:t>
      </w:r>
      <w:r>
        <w:rPr>
          <w:rFonts w:hint="eastAsia" w:ascii="仿宋_GB2312" w:hAnsi="Times New Roman" w:eastAsia="仿宋_GB2312"/>
          <w:kern w:val="0"/>
          <w:sz w:val="32"/>
          <w:szCs w:val="32"/>
        </w:rPr>
        <w:t>、会计电算化、统计事务、金融事务、农村经济综合管理等相关专业考生。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现代职教体系“</w:t>
      </w:r>
      <w:r>
        <w:rPr>
          <w:rFonts w:ascii="仿宋_GB2312" w:hAnsi="Times New Roman" w:eastAsia="仿宋_GB2312"/>
          <w:kern w:val="0"/>
          <w:sz w:val="32"/>
          <w:szCs w:val="32"/>
        </w:rPr>
        <w:t>3+3</w:t>
      </w:r>
      <w:r>
        <w:rPr>
          <w:rFonts w:hint="eastAsia" w:ascii="仿宋_GB2312" w:hAnsi="Times New Roman" w:eastAsia="仿宋_GB2312"/>
          <w:kern w:val="0"/>
          <w:sz w:val="32"/>
          <w:szCs w:val="32"/>
        </w:rPr>
        <w:t>”、“</w:t>
      </w:r>
      <w:r>
        <w:rPr>
          <w:rFonts w:ascii="仿宋_GB2312" w:hAnsi="Times New Roman" w:eastAsia="仿宋_GB2312"/>
          <w:kern w:val="0"/>
          <w:sz w:val="32"/>
          <w:szCs w:val="32"/>
        </w:rPr>
        <w:t>3+4</w:t>
      </w:r>
      <w:r>
        <w:rPr>
          <w:rFonts w:hint="eastAsia" w:ascii="仿宋_GB2312" w:hAnsi="Times New Roman" w:eastAsia="仿宋_GB2312"/>
          <w:kern w:val="0"/>
          <w:sz w:val="32"/>
          <w:szCs w:val="32"/>
        </w:rPr>
        <w:t>”试点项目</w:t>
      </w:r>
      <w:r>
        <w:rPr>
          <w:rFonts w:ascii="仿宋_GB2312" w:hAnsi="Times New Roman" w:eastAsia="仿宋_GB2312"/>
          <w:kern w:val="0"/>
          <w:sz w:val="32"/>
          <w:szCs w:val="32"/>
        </w:rPr>
        <w:t>2018</w:t>
      </w:r>
      <w:r>
        <w:rPr>
          <w:rFonts w:hint="eastAsia" w:ascii="仿宋_GB2312" w:hAnsi="Times New Roman" w:eastAsia="仿宋_GB2312"/>
          <w:kern w:val="0"/>
          <w:sz w:val="32"/>
          <w:szCs w:val="32"/>
        </w:rPr>
        <w:t>级学生须参加考试。五年制高等职业教育学生是否参加考试，由各市教育局统筹安排。</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黑体"/>
          <w:kern w:val="0"/>
          <w:sz w:val="32"/>
          <w:szCs w:val="32"/>
        </w:rPr>
      </w:pPr>
      <w:r>
        <w:rPr>
          <w:rFonts w:hint="eastAsia" w:ascii="Times New Roman" w:hAnsi="Times New Roman" w:eastAsia="黑体"/>
          <w:kern w:val="0"/>
          <w:sz w:val="32"/>
          <w:szCs w:val="32"/>
        </w:rPr>
        <w:t>二、考试内容、方式、时长及配分</w:t>
      </w:r>
    </w:p>
    <w:tbl>
      <w:tblPr>
        <w:tblStyle w:val="4"/>
        <w:tblW w:w="498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8"/>
        <w:gridCol w:w="1625"/>
        <w:gridCol w:w="1624"/>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8" w:type="pct"/>
            <w:vAlign w:val="center"/>
          </w:tcPr>
          <w:p>
            <w:pPr>
              <w:spacing w:line="560" w:lineRule="exact"/>
              <w:jc w:val="center"/>
              <w:rPr>
                <w:rFonts w:ascii="Times New Roman" w:hAnsi="Times New Roman" w:eastAsia="仿宋_GB2312"/>
                <w:b/>
                <w:bCs/>
                <w:sz w:val="28"/>
                <w:szCs w:val="28"/>
              </w:rPr>
            </w:pPr>
            <w:r>
              <w:rPr>
                <w:rFonts w:hint="eastAsia" w:ascii="Times New Roman" w:hAnsi="Times New Roman" w:eastAsia="仿宋_GB2312"/>
                <w:b/>
                <w:bCs/>
                <w:sz w:val="28"/>
                <w:szCs w:val="28"/>
              </w:rPr>
              <w:t>考试内容</w:t>
            </w:r>
          </w:p>
        </w:tc>
        <w:tc>
          <w:tcPr>
            <w:tcW w:w="956" w:type="pct"/>
            <w:vAlign w:val="center"/>
          </w:tcPr>
          <w:p>
            <w:pPr>
              <w:spacing w:line="560" w:lineRule="exact"/>
              <w:jc w:val="center"/>
              <w:rPr>
                <w:rFonts w:ascii="Times New Roman" w:hAnsi="Times New Roman" w:eastAsia="仿宋_GB2312"/>
                <w:b/>
                <w:bCs/>
                <w:sz w:val="28"/>
                <w:szCs w:val="28"/>
              </w:rPr>
            </w:pPr>
            <w:r>
              <w:rPr>
                <w:rFonts w:hint="eastAsia" w:ascii="Times New Roman" w:hAnsi="Times New Roman" w:eastAsia="仿宋_GB2312"/>
                <w:b/>
                <w:bCs/>
                <w:sz w:val="28"/>
                <w:szCs w:val="28"/>
              </w:rPr>
              <w:t>方式</w:t>
            </w:r>
          </w:p>
        </w:tc>
        <w:tc>
          <w:tcPr>
            <w:tcW w:w="956" w:type="pct"/>
            <w:vAlign w:val="center"/>
          </w:tcPr>
          <w:p>
            <w:pPr>
              <w:spacing w:line="560" w:lineRule="exact"/>
              <w:jc w:val="center"/>
              <w:rPr>
                <w:rFonts w:ascii="Times New Roman" w:hAnsi="Times New Roman" w:eastAsia="仿宋_GB2312"/>
                <w:b/>
                <w:bCs/>
                <w:sz w:val="28"/>
                <w:szCs w:val="28"/>
              </w:rPr>
            </w:pPr>
            <w:r>
              <w:rPr>
                <w:rFonts w:hint="eastAsia" w:ascii="Times New Roman" w:hAnsi="Times New Roman" w:eastAsia="仿宋_GB2312"/>
                <w:b/>
                <w:bCs/>
                <w:sz w:val="28"/>
                <w:szCs w:val="28"/>
              </w:rPr>
              <w:t>时长</w:t>
            </w:r>
          </w:p>
        </w:tc>
        <w:tc>
          <w:tcPr>
            <w:tcW w:w="958" w:type="pct"/>
            <w:vAlign w:val="center"/>
          </w:tcPr>
          <w:p>
            <w:pPr>
              <w:spacing w:line="560" w:lineRule="exact"/>
              <w:jc w:val="center"/>
              <w:rPr>
                <w:rFonts w:ascii="Times New Roman" w:hAnsi="Times New Roman" w:eastAsia="仿宋_GB2312"/>
                <w:b/>
                <w:bCs/>
                <w:sz w:val="28"/>
                <w:szCs w:val="28"/>
              </w:rPr>
            </w:pPr>
            <w:r>
              <w:rPr>
                <w:rFonts w:hint="eastAsia" w:ascii="Times New Roman" w:hAnsi="Times New Roman" w:eastAsia="仿宋_GB2312"/>
                <w:b/>
                <w:bCs/>
                <w:sz w:val="28"/>
                <w:szCs w:val="28"/>
              </w:rPr>
              <w:t>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8" w:type="pct"/>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基础会计实务</w:t>
            </w:r>
          </w:p>
        </w:tc>
        <w:tc>
          <w:tcPr>
            <w:tcW w:w="956" w:type="pct"/>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信息化</w:t>
            </w:r>
          </w:p>
        </w:tc>
        <w:tc>
          <w:tcPr>
            <w:tcW w:w="956" w:type="pct"/>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60</w:t>
            </w:r>
            <w:r>
              <w:rPr>
                <w:rFonts w:hint="eastAsia" w:ascii="Times New Roman" w:hAnsi="Times New Roman" w:eastAsia="仿宋_GB2312"/>
                <w:sz w:val="28"/>
                <w:szCs w:val="28"/>
              </w:rPr>
              <w:t>分钟</w:t>
            </w:r>
          </w:p>
        </w:tc>
        <w:tc>
          <w:tcPr>
            <w:tcW w:w="958" w:type="pct"/>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100</w:t>
            </w:r>
            <w:r>
              <w:rPr>
                <w:rFonts w:hint="eastAsia" w:ascii="Times New Roman" w:hAnsi="Times New Roman" w:eastAsia="仿宋_GB2312"/>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8" w:type="pct"/>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会计电算化</w:t>
            </w:r>
          </w:p>
        </w:tc>
        <w:tc>
          <w:tcPr>
            <w:tcW w:w="956" w:type="pct"/>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信息化</w:t>
            </w:r>
          </w:p>
        </w:tc>
        <w:tc>
          <w:tcPr>
            <w:tcW w:w="956" w:type="pct"/>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60</w:t>
            </w:r>
            <w:r>
              <w:rPr>
                <w:rFonts w:hint="eastAsia" w:ascii="Times New Roman" w:hAnsi="Times New Roman" w:eastAsia="仿宋_GB2312"/>
                <w:sz w:val="28"/>
                <w:szCs w:val="28"/>
              </w:rPr>
              <w:t>分钟</w:t>
            </w:r>
          </w:p>
        </w:tc>
        <w:tc>
          <w:tcPr>
            <w:tcW w:w="958" w:type="pct"/>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100</w:t>
            </w:r>
            <w:r>
              <w:rPr>
                <w:rFonts w:hint="eastAsia" w:ascii="Times New Roman" w:hAnsi="Times New Roman" w:eastAsia="仿宋_GB2312"/>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8" w:type="pct"/>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成本会计实务</w:t>
            </w:r>
          </w:p>
        </w:tc>
        <w:tc>
          <w:tcPr>
            <w:tcW w:w="956" w:type="pct"/>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信息化</w:t>
            </w:r>
          </w:p>
        </w:tc>
        <w:tc>
          <w:tcPr>
            <w:tcW w:w="956" w:type="pct"/>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60</w:t>
            </w:r>
            <w:r>
              <w:rPr>
                <w:rFonts w:hint="eastAsia" w:ascii="Times New Roman" w:hAnsi="Times New Roman" w:eastAsia="仿宋_GB2312"/>
                <w:sz w:val="28"/>
                <w:szCs w:val="28"/>
              </w:rPr>
              <w:t>分钟</w:t>
            </w:r>
          </w:p>
        </w:tc>
        <w:tc>
          <w:tcPr>
            <w:tcW w:w="958" w:type="pct"/>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100</w:t>
            </w:r>
            <w:r>
              <w:rPr>
                <w:rFonts w:hint="eastAsia" w:ascii="Times New Roman" w:hAnsi="Times New Roman" w:eastAsia="仿宋_GB2312"/>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84" w:type="pct"/>
            <w:gridSpan w:val="2"/>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sz w:val="28"/>
                <w:szCs w:val="28"/>
              </w:rPr>
              <w:t>总计</w:t>
            </w:r>
          </w:p>
        </w:tc>
        <w:tc>
          <w:tcPr>
            <w:tcW w:w="956" w:type="pct"/>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180</w:t>
            </w:r>
            <w:r>
              <w:rPr>
                <w:rFonts w:hint="eastAsia" w:ascii="Times New Roman" w:hAnsi="Times New Roman" w:eastAsia="仿宋_GB2312"/>
                <w:sz w:val="28"/>
                <w:szCs w:val="28"/>
              </w:rPr>
              <w:t>分钟</w:t>
            </w:r>
          </w:p>
        </w:tc>
        <w:tc>
          <w:tcPr>
            <w:tcW w:w="958" w:type="pct"/>
            <w:vAlign w:val="center"/>
          </w:tcPr>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300</w:t>
            </w:r>
            <w:r>
              <w:rPr>
                <w:rFonts w:hint="eastAsia" w:ascii="Times New Roman" w:hAnsi="Times New Roman" w:eastAsia="仿宋_GB2312"/>
                <w:sz w:val="28"/>
                <w:szCs w:val="28"/>
              </w:rPr>
              <w:t>分</w:t>
            </w:r>
          </w:p>
        </w:tc>
      </w:tr>
    </w:tbl>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黑体"/>
          <w:kern w:val="0"/>
          <w:sz w:val="32"/>
          <w:szCs w:val="32"/>
        </w:rPr>
      </w:pPr>
      <w:r>
        <w:rPr>
          <w:rFonts w:hint="eastAsia" w:ascii="Times New Roman" w:hAnsi="Times New Roman" w:eastAsia="黑体"/>
          <w:kern w:val="0"/>
          <w:sz w:val="32"/>
          <w:szCs w:val="32"/>
        </w:rPr>
        <w:t>三、考试时间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2020年11月中旬。</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黑体"/>
          <w:kern w:val="0"/>
          <w:sz w:val="32"/>
          <w:szCs w:val="32"/>
        </w:rPr>
      </w:pPr>
      <w:r>
        <w:rPr>
          <w:rFonts w:hint="eastAsia" w:ascii="Times New Roman" w:hAnsi="Times New Roman" w:eastAsia="黑体"/>
          <w:kern w:val="0"/>
          <w:sz w:val="32"/>
          <w:szCs w:val="32"/>
        </w:rPr>
        <w:t>四、组织实施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（一）考点设置</w:t>
      </w:r>
    </w:p>
    <w:tbl>
      <w:tblPr>
        <w:tblStyle w:val="4"/>
        <w:tblW w:w="5061" w:type="pct"/>
        <w:jc w:val="center"/>
        <w:tblLayout w:type="autofit"/>
        <w:tblCellMar>
          <w:top w:w="0" w:type="dxa"/>
          <w:left w:w="0" w:type="dxa"/>
          <w:bottom w:w="0" w:type="dxa"/>
          <w:right w:w="0" w:type="dxa"/>
        </w:tblCellMar>
      </w:tblPr>
      <w:tblGrid>
        <w:gridCol w:w="1182"/>
        <w:gridCol w:w="1536"/>
        <w:gridCol w:w="4573"/>
        <w:gridCol w:w="1147"/>
      </w:tblGrid>
      <w:tr>
        <w:tblPrEx>
          <w:tblCellMar>
            <w:top w:w="0" w:type="dxa"/>
            <w:left w:w="0" w:type="dxa"/>
            <w:bottom w:w="0" w:type="dxa"/>
            <w:right w:w="0" w:type="dxa"/>
          </w:tblCellMar>
        </w:tblPrEx>
        <w:trPr>
          <w:trHeight w:val="547" w:hRule="atLeast"/>
          <w:tblHeader/>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序号</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城市</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1405" w:firstLineChars="500"/>
              <w:rPr>
                <w:rFonts w:hint="eastAsia" w:ascii="仿宋" w:hAnsi="仿宋" w:eastAsia="仿宋" w:cs="仿宋"/>
                <w:b/>
                <w:bCs/>
                <w:kern w:val="0"/>
                <w:sz w:val="28"/>
                <w:szCs w:val="28"/>
              </w:rPr>
            </w:pPr>
            <w:r>
              <w:rPr>
                <w:rFonts w:hint="eastAsia" w:ascii="仿宋" w:hAnsi="仿宋" w:eastAsia="仿宋" w:cs="仿宋"/>
                <w:b/>
                <w:bCs/>
                <w:kern w:val="0"/>
                <w:sz w:val="28"/>
                <w:szCs w:val="28"/>
              </w:rPr>
              <w:t>考点学校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备注</w:t>
            </w: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1</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南京</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★南京财经高等职业技术学校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2</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南京</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江苏省高淳中等专业学校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3</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南京</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南京浦口中等专业学校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4</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南京</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南京六合中等专业学校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1071"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5</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无锡</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left"/>
              <w:rPr>
                <w:rFonts w:hint="eastAsia" w:ascii="仿宋" w:hAnsi="仿宋" w:eastAsia="仿宋" w:cs="仿宋"/>
                <w:kern w:val="0"/>
                <w:sz w:val="24"/>
              </w:rPr>
            </w:pPr>
            <w:r>
              <w:rPr>
                <w:rFonts w:hint="eastAsia" w:ascii="仿宋" w:hAnsi="仿宋" w:eastAsia="仿宋" w:cs="仿宋"/>
                <w:kern w:val="0"/>
                <w:sz w:val="24"/>
              </w:rPr>
              <w:t>无锡技师学院（江苏省无锡立信中等专业学校）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6</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无锡</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left"/>
              <w:rPr>
                <w:rFonts w:hint="eastAsia" w:ascii="仿宋" w:hAnsi="仿宋" w:eastAsia="仿宋" w:cs="仿宋"/>
                <w:kern w:val="0"/>
                <w:sz w:val="24"/>
              </w:rPr>
            </w:pPr>
            <w:r>
              <w:rPr>
                <w:rFonts w:hint="eastAsia" w:ascii="仿宋" w:hAnsi="仿宋" w:eastAsia="仿宋" w:cs="仿宋"/>
                <w:kern w:val="0"/>
                <w:sz w:val="24"/>
              </w:rPr>
              <w:t>★江苏省宜兴中等专业学校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7</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徐州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left"/>
              <w:rPr>
                <w:rFonts w:hint="eastAsia" w:ascii="仿宋" w:hAnsi="仿宋" w:eastAsia="仿宋" w:cs="仿宋"/>
                <w:kern w:val="0"/>
                <w:sz w:val="24"/>
              </w:rPr>
            </w:pPr>
            <w:r>
              <w:rPr>
                <w:rFonts w:hint="eastAsia" w:ascii="仿宋" w:hAnsi="仿宋" w:eastAsia="仿宋" w:cs="仿宋"/>
                <w:kern w:val="0"/>
                <w:sz w:val="24"/>
              </w:rPr>
              <w:t>★江苏省徐州财经高等职业技术学校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8</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徐州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★江苏省丰县中等专业学校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9</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徐州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江苏省沛县中等专业学校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10</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徐州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★江苏省邳州中等专业学校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11</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常州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★江苏省武进中等专业学校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12</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常州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江苏省溧阳中等专业学校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13</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常州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★江苏省金坛中等专业学校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14</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苏州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★江苏省常熟中等专业学校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15</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苏州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江苏省苏州丝绸中等专业学校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16</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苏州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★江苏省吴江中等专业学校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17</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苏州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江苏省吴中中等专业学校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18</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苏州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张家港市第二职业高级中学</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19</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南通</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★江苏省南通中等专业学校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20</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南通</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江苏省如东中等专业学校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21</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南通</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启东市第二中等专业学校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22</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南通</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★江苏省海门中等专业学校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23</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南通</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江苏省海安中等专业学校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24</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南通</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江苏省通州中等专业学校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25</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连云港</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★江苏省连云港中等专业学校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26</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连云港</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★江苏省灌南中等专业学校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27</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淮安</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★江苏省淮阴商业学校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28</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淮安</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淮安生物工程高等职业学校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29</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淮安</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江苏省淮安中等专业学校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30</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盐城</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江苏省建湖中等专业学校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31</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盐城</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盐城机电高等职业技术学校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32</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盐城</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★盐城生物工程高等职业技术学校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33</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扬州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扬州高等职业技术学校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34</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扬州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★江苏省高邮中等专业学校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35</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扬州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江苏省江都中等专业学校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ind w:firstLine="480" w:firstLineChars="200"/>
              <w:rPr>
                <w:rFonts w:hint="eastAsia" w:ascii="仿宋" w:hAnsi="仿宋" w:eastAsia="仿宋" w:cs="仿宋"/>
                <w:kern w:val="0"/>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36</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镇江</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★江苏省丹阳中等专业学校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37</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泰州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★江苏省泰兴中等专业学校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38</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泰州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★泰州机电高等职业技术学校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39</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泰州</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江苏省靖江中等专业学校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40</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宿迁</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★江苏省宿城中等专业学校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sz w:val="24"/>
              </w:rPr>
            </w:pPr>
          </w:p>
        </w:tc>
      </w:tr>
      <w:tr>
        <w:tblPrEx>
          <w:tblCellMar>
            <w:top w:w="0" w:type="dxa"/>
            <w:left w:w="0" w:type="dxa"/>
            <w:bottom w:w="0" w:type="dxa"/>
            <w:right w:w="0" w:type="dxa"/>
          </w:tblCellMar>
        </w:tblPrEx>
        <w:trPr>
          <w:trHeight w:val="54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41</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宿迁</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江苏省泗阳中等专业学校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sz w:val="24"/>
              </w:rPr>
            </w:pPr>
          </w:p>
        </w:tc>
      </w:tr>
      <w:tr>
        <w:tblPrEx>
          <w:tblCellMar>
            <w:top w:w="0" w:type="dxa"/>
            <w:left w:w="0" w:type="dxa"/>
            <w:bottom w:w="0" w:type="dxa"/>
            <w:right w:w="0" w:type="dxa"/>
          </w:tblCellMar>
        </w:tblPrEx>
        <w:trPr>
          <w:trHeight w:val="557" w:hRule="atLeast"/>
          <w:jc w:val="center"/>
        </w:trPr>
        <w:tc>
          <w:tcPr>
            <w:tcW w:w="70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42</w:t>
            </w:r>
          </w:p>
        </w:tc>
        <w:tc>
          <w:tcPr>
            <w:tcW w:w="9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jc w:val="center"/>
              <w:rPr>
                <w:rFonts w:hint="eastAsia" w:ascii="仿宋" w:hAnsi="仿宋" w:eastAsia="仿宋" w:cs="仿宋"/>
                <w:kern w:val="0"/>
                <w:sz w:val="24"/>
              </w:rPr>
            </w:pPr>
            <w:r>
              <w:rPr>
                <w:rFonts w:hint="eastAsia" w:ascii="仿宋" w:hAnsi="仿宋" w:eastAsia="仿宋" w:cs="仿宋"/>
                <w:kern w:val="0"/>
                <w:sz w:val="24"/>
              </w:rPr>
              <w:t>宿迁</w:t>
            </w:r>
          </w:p>
        </w:tc>
        <w:tc>
          <w:tcPr>
            <w:tcW w:w="27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kern w:val="0"/>
                <w:sz w:val="24"/>
              </w:rPr>
            </w:pPr>
            <w:r>
              <w:rPr>
                <w:rFonts w:hint="eastAsia" w:ascii="仿宋" w:hAnsi="仿宋" w:eastAsia="仿宋" w:cs="仿宋"/>
                <w:kern w:val="0"/>
                <w:sz w:val="24"/>
              </w:rPr>
              <w:t>江苏省宿豫中等专业学校</w:t>
            </w:r>
          </w:p>
        </w:tc>
        <w:tc>
          <w:tcPr>
            <w:tcW w:w="6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560" w:lineRule="exact"/>
              <w:rPr>
                <w:rFonts w:hint="eastAsia" w:ascii="仿宋" w:hAnsi="仿宋" w:eastAsia="仿宋" w:cs="仿宋"/>
                <w:sz w:val="24"/>
              </w:rPr>
            </w:pPr>
          </w:p>
        </w:tc>
      </w:tr>
    </w:tbl>
    <w:p>
      <w:pPr>
        <w:keepNext w:val="0"/>
        <w:keepLines w:val="0"/>
        <w:pageBreakBefore w:val="0"/>
        <w:widowControl w:val="0"/>
        <w:kinsoku/>
        <w:wordWrap/>
        <w:overflowPunct/>
        <w:topLinePunct w:val="0"/>
        <w:autoSpaceDE/>
        <w:autoSpaceDN/>
        <w:bidi w:val="0"/>
        <w:adjustRightInd/>
        <w:snapToGrid w:val="0"/>
        <w:spacing w:line="560" w:lineRule="exact"/>
        <w:ind w:left="1227" w:leftChars="247" w:right="384" w:rightChars="183" w:hanging="708" w:hangingChars="253"/>
        <w:textAlignment w:val="auto"/>
        <w:rPr>
          <w:rFonts w:ascii="仿宋" w:hAnsi="仿宋" w:eastAsia="仿宋" w:cs="仿宋"/>
          <w:bCs/>
          <w:color w:val="000000"/>
          <w:kern w:val="0"/>
          <w:sz w:val="28"/>
          <w:szCs w:val="28"/>
        </w:rPr>
      </w:pPr>
      <w:r>
        <w:rPr>
          <w:rFonts w:hint="eastAsia" w:ascii="仿宋" w:hAnsi="仿宋" w:eastAsia="仿宋" w:cs="仿宋"/>
          <w:bCs/>
          <w:color w:val="000000"/>
          <w:kern w:val="0"/>
          <w:sz w:val="28"/>
          <w:szCs w:val="28"/>
        </w:rPr>
        <w:t>★：为各大市确定的对口升学技能试点考试学校，备注栏由</w:t>
      </w:r>
    </w:p>
    <w:p>
      <w:pPr>
        <w:keepNext w:val="0"/>
        <w:keepLines w:val="0"/>
        <w:pageBreakBefore w:val="0"/>
        <w:widowControl w:val="0"/>
        <w:kinsoku/>
        <w:wordWrap/>
        <w:overflowPunct/>
        <w:topLinePunct w:val="0"/>
        <w:autoSpaceDE/>
        <w:autoSpaceDN/>
        <w:bidi w:val="0"/>
        <w:adjustRightInd/>
        <w:snapToGrid w:val="0"/>
        <w:spacing w:line="560" w:lineRule="exact"/>
        <w:ind w:left="1227" w:leftChars="247" w:right="384" w:rightChars="183" w:hanging="708" w:hangingChars="253"/>
        <w:textAlignment w:val="auto"/>
        <w:rPr>
          <w:rFonts w:ascii="仿宋" w:hAnsi="仿宋" w:eastAsia="仿宋" w:cs="仿宋"/>
          <w:bCs/>
          <w:color w:val="000000"/>
          <w:kern w:val="0"/>
          <w:sz w:val="28"/>
          <w:szCs w:val="28"/>
        </w:rPr>
      </w:pPr>
      <w:r>
        <w:rPr>
          <w:rFonts w:hint="eastAsia" w:ascii="仿宋" w:hAnsi="仿宋" w:eastAsia="仿宋" w:cs="仿宋"/>
          <w:bCs/>
          <w:color w:val="000000"/>
          <w:kern w:val="0"/>
          <w:sz w:val="28"/>
          <w:szCs w:val="28"/>
        </w:rPr>
        <w:t>各大市填写考点面向服务区域。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（二）考试组织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省教育考试院和省中职学考办公室负责考务组织管理与协调工作，各市教育行政部门、招考系统负责具体实施。专业委员会负责协调本专业类有关考点院校，协同各设区市教育行政部门、招考部门完成本专业类专业技能考试。考点学校应组建技术团队，加强考试平台维护，确保正常运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（三）考场安排</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全省考生分3个批次完成技能考试。考点学校每个考场的人数限制在45人以内，同一批次技能考试可设置2至10个考场。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（1）第1天上午、下午，分别安排两个批次，组织普通学考技能考试；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（2）第2天上午，安排一个批次，组织对口升学技能试点考试。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（四）评分方式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基础会计实务”、“会计电算化”和“成本会计实务”三个项目均通过信息化综合实训平台进行考试，系统自动评分。考试期间，由考点安排1名机房人员、1名网络维护人员，每个考场安排2名监考老师；每个考点由学考办安排1名巡考人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黑体"/>
          <w:kern w:val="0"/>
          <w:sz w:val="32"/>
          <w:szCs w:val="32"/>
        </w:rPr>
      </w:pPr>
      <w:r>
        <w:rPr>
          <w:rFonts w:hint="eastAsia" w:ascii="Times New Roman" w:hAnsi="Times New Roman" w:eastAsia="黑体"/>
          <w:kern w:val="0"/>
          <w:sz w:val="32"/>
          <w:szCs w:val="32"/>
        </w:rPr>
        <w:t>五、考试考点环境、设备配置要求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详见《江苏省中等职业学校学生学业水平考试会计类技能考试考点建设标准（试行）修订稿》。</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黑体"/>
          <w:kern w:val="0"/>
          <w:sz w:val="32"/>
          <w:szCs w:val="32"/>
        </w:rPr>
      </w:pPr>
      <w:r>
        <w:rPr>
          <w:rFonts w:hint="eastAsia" w:ascii="Times New Roman" w:hAnsi="Times New Roman" w:eastAsia="黑体"/>
          <w:kern w:val="0"/>
          <w:sz w:val="32"/>
          <w:szCs w:val="32"/>
        </w:rPr>
        <w:t>六、考试样题及评分标准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（一）基础会计实务</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ascii="仿宋" w:hAnsi="仿宋" w:eastAsia="仿宋" w:cs="仿宋"/>
          <w:kern w:val="0"/>
          <w:sz w:val="28"/>
          <w:szCs w:val="28"/>
        </w:rPr>
      </w:pPr>
      <w:r>
        <w:rPr>
          <w:rFonts w:hint="eastAsia" w:ascii="仿宋" w:hAnsi="仿宋" w:eastAsia="仿宋" w:cs="仿宋"/>
          <w:kern w:val="0"/>
          <w:sz w:val="28"/>
          <w:szCs w:val="28"/>
        </w:rPr>
        <w:t>1.考试样题</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ascii="仿宋" w:hAnsi="仿宋" w:eastAsia="仿宋" w:cs="仿宋"/>
          <w:kern w:val="0"/>
          <w:sz w:val="28"/>
          <w:szCs w:val="28"/>
        </w:rPr>
      </w:pPr>
      <w:r>
        <w:rPr>
          <w:rFonts w:hint="eastAsia" w:ascii="仿宋" w:hAnsi="仿宋" w:eastAsia="仿宋" w:cs="仿宋"/>
          <w:kern w:val="0"/>
          <w:sz w:val="28"/>
          <w:szCs w:val="28"/>
        </w:rPr>
        <w:t>在规定时间内完成原始凭证的填制、记账凭证的填制、账簿的登记和会计报表的编制，时间60分钟，总分100分。</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ascii="仿宋" w:hAnsi="仿宋" w:eastAsia="仿宋" w:cs="仿宋"/>
          <w:kern w:val="0"/>
          <w:sz w:val="28"/>
          <w:szCs w:val="28"/>
        </w:rPr>
      </w:pPr>
      <w:r>
        <w:rPr>
          <w:rFonts w:hint="eastAsia" w:ascii="仿宋" w:hAnsi="仿宋" w:eastAsia="仿宋" w:cs="仿宋"/>
          <w:kern w:val="0"/>
          <w:sz w:val="28"/>
          <w:szCs w:val="28"/>
        </w:rPr>
        <w:t>2.评分标准</w:t>
      </w:r>
    </w:p>
    <w:tbl>
      <w:tblPr>
        <w:tblStyle w:val="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2117"/>
        <w:gridCol w:w="4755"/>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33" w:type="pct"/>
            <w:vAlign w:val="center"/>
          </w:tcPr>
          <w:p>
            <w:pPr>
              <w:spacing w:line="560" w:lineRule="exact"/>
              <w:ind w:left="-101" w:leftChars="-48"/>
              <w:jc w:val="center"/>
              <w:rPr>
                <w:rFonts w:ascii="仿宋" w:hAnsi="仿宋" w:eastAsia="仿宋" w:cs="仿宋"/>
                <w:b/>
                <w:bCs/>
                <w:sz w:val="24"/>
              </w:rPr>
            </w:pPr>
            <w:r>
              <w:rPr>
                <w:rFonts w:hint="eastAsia" w:ascii="仿宋" w:hAnsi="仿宋" w:eastAsia="仿宋" w:cs="仿宋"/>
                <w:b/>
                <w:bCs/>
                <w:sz w:val="24"/>
              </w:rPr>
              <w:t>序号</w:t>
            </w:r>
          </w:p>
        </w:tc>
        <w:tc>
          <w:tcPr>
            <w:tcW w:w="1242" w:type="pct"/>
            <w:vAlign w:val="center"/>
          </w:tcPr>
          <w:p>
            <w:pPr>
              <w:spacing w:line="560" w:lineRule="exact"/>
              <w:jc w:val="center"/>
              <w:rPr>
                <w:rFonts w:ascii="仿宋" w:hAnsi="仿宋" w:eastAsia="仿宋" w:cs="仿宋"/>
                <w:b/>
                <w:bCs/>
                <w:sz w:val="24"/>
              </w:rPr>
            </w:pPr>
            <w:r>
              <w:rPr>
                <w:rFonts w:hint="eastAsia" w:ascii="仿宋" w:hAnsi="仿宋" w:eastAsia="仿宋" w:cs="仿宋"/>
                <w:b/>
                <w:bCs/>
                <w:sz w:val="24"/>
              </w:rPr>
              <w:t>评分要点</w:t>
            </w:r>
          </w:p>
        </w:tc>
        <w:tc>
          <w:tcPr>
            <w:tcW w:w="2790" w:type="pct"/>
            <w:vAlign w:val="center"/>
          </w:tcPr>
          <w:p>
            <w:pPr>
              <w:spacing w:line="560" w:lineRule="exact"/>
              <w:jc w:val="center"/>
              <w:rPr>
                <w:rFonts w:ascii="仿宋" w:hAnsi="仿宋" w:eastAsia="仿宋" w:cs="仿宋"/>
                <w:b/>
                <w:bCs/>
                <w:sz w:val="24"/>
              </w:rPr>
            </w:pPr>
            <w:r>
              <w:rPr>
                <w:rFonts w:hint="eastAsia" w:ascii="仿宋" w:hAnsi="仿宋" w:eastAsia="仿宋" w:cs="仿宋"/>
                <w:b/>
                <w:bCs/>
                <w:sz w:val="24"/>
              </w:rPr>
              <w:t>评分依据</w:t>
            </w:r>
          </w:p>
        </w:tc>
        <w:tc>
          <w:tcPr>
            <w:tcW w:w="534" w:type="pct"/>
            <w:vAlign w:val="center"/>
          </w:tcPr>
          <w:p>
            <w:pPr>
              <w:spacing w:line="560" w:lineRule="exact"/>
              <w:jc w:val="center"/>
              <w:rPr>
                <w:rFonts w:ascii="仿宋" w:hAnsi="仿宋" w:eastAsia="仿宋" w:cs="仿宋"/>
                <w:b/>
                <w:bCs/>
                <w:sz w:val="24"/>
              </w:rPr>
            </w:pPr>
            <w:r>
              <w:rPr>
                <w:rFonts w:hint="eastAsia" w:ascii="仿宋" w:hAnsi="仿宋" w:eastAsia="仿宋" w:cs="仿宋"/>
                <w:b/>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33" w:type="pct"/>
            <w:vAlign w:val="center"/>
          </w:tcPr>
          <w:p>
            <w:pPr>
              <w:spacing w:line="560" w:lineRule="exact"/>
              <w:jc w:val="center"/>
              <w:rPr>
                <w:rFonts w:ascii="仿宋" w:hAnsi="仿宋" w:eastAsia="仿宋" w:cs="仿宋"/>
                <w:sz w:val="24"/>
              </w:rPr>
            </w:pPr>
            <w:r>
              <w:rPr>
                <w:rFonts w:hint="eastAsia" w:ascii="仿宋" w:hAnsi="仿宋" w:eastAsia="仿宋" w:cs="仿宋"/>
                <w:sz w:val="24"/>
              </w:rPr>
              <w:t>1</w:t>
            </w:r>
          </w:p>
        </w:tc>
        <w:tc>
          <w:tcPr>
            <w:tcW w:w="1242"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原始凭证的填制</w:t>
            </w:r>
          </w:p>
        </w:tc>
        <w:tc>
          <w:tcPr>
            <w:tcW w:w="2790" w:type="pct"/>
            <w:vAlign w:val="center"/>
          </w:tcPr>
          <w:p>
            <w:pPr>
              <w:spacing w:line="560" w:lineRule="exact"/>
              <w:jc w:val="left"/>
              <w:rPr>
                <w:rFonts w:ascii="仿宋" w:hAnsi="仿宋" w:eastAsia="仿宋" w:cs="仿宋"/>
                <w:sz w:val="24"/>
              </w:rPr>
            </w:pPr>
            <w:r>
              <w:rPr>
                <w:rFonts w:hint="eastAsia" w:ascii="仿宋" w:hAnsi="仿宋" w:eastAsia="仿宋" w:cs="仿宋"/>
                <w:sz w:val="24"/>
              </w:rPr>
              <w:t>会规范、正确、完整填制2张原始凭证。</w:t>
            </w:r>
          </w:p>
        </w:tc>
        <w:tc>
          <w:tcPr>
            <w:tcW w:w="534" w:type="pct"/>
            <w:vAlign w:val="center"/>
          </w:tcPr>
          <w:p>
            <w:pPr>
              <w:spacing w:line="560" w:lineRule="exact"/>
              <w:jc w:val="center"/>
              <w:rPr>
                <w:rFonts w:ascii="仿宋" w:hAnsi="仿宋" w:eastAsia="仿宋" w:cs="仿宋"/>
                <w:sz w:val="24"/>
              </w:rPr>
            </w:pPr>
            <w:r>
              <w:rPr>
                <w:rFonts w:hint="eastAsia" w:ascii="仿宋" w:hAnsi="仿宋" w:eastAsia="仿宋" w:cs="仿宋"/>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433" w:type="pct"/>
            <w:vAlign w:val="center"/>
          </w:tcPr>
          <w:p>
            <w:pPr>
              <w:spacing w:line="560" w:lineRule="exact"/>
              <w:jc w:val="center"/>
              <w:rPr>
                <w:rFonts w:ascii="仿宋" w:hAnsi="仿宋" w:eastAsia="仿宋" w:cs="仿宋"/>
                <w:sz w:val="24"/>
              </w:rPr>
            </w:pPr>
            <w:r>
              <w:rPr>
                <w:rFonts w:hint="eastAsia" w:ascii="仿宋" w:hAnsi="仿宋" w:eastAsia="仿宋" w:cs="仿宋"/>
                <w:sz w:val="24"/>
              </w:rPr>
              <w:t>2</w:t>
            </w:r>
          </w:p>
        </w:tc>
        <w:tc>
          <w:tcPr>
            <w:tcW w:w="1242"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记账凭证的填制</w:t>
            </w:r>
          </w:p>
        </w:tc>
        <w:tc>
          <w:tcPr>
            <w:tcW w:w="2790" w:type="pct"/>
            <w:vAlign w:val="center"/>
          </w:tcPr>
          <w:p>
            <w:pPr>
              <w:spacing w:line="560" w:lineRule="exact"/>
              <w:jc w:val="left"/>
              <w:rPr>
                <w:rFonts w:ascii="仿宋" w:hAnsi="仿宋" w:eastAsia="仿宋" w:cs="仿宋"/>
                <w:sz w:val="24"/>
              </w:rPr>
            </w:pPr>
            <w:r>
              <w:rPr>
                <w:rFonts w:hint="eastAsia" w:ascii="仿宋" w:hAnsi="仿宋" w:eastAsia="仿宋" w:cs="仿宋"/>
                <w:sz w:val="24"/>
              </w:rPr>
              <w:t>会规范、正确、完整填制10笔经济业务的记账凭证。</w:t>
            </w:r>
          </w:p>
        </w:tc>
        <w:tc>
          <w:tcPr>
            <w:tcW w:w="534" w:type="pct"/>
            <w:vAlign w:val="center"/>
          </w:tcPr>
          <w:p>
            <w:pPr>
              <w:spacing w:line="560" w:lineRule="exact"/>
              <w:jc w:val="center"/>
              <w:rPr>
                <w:rFonts w:ascii="仿宋" w:hAnsi="仿宋" w:eastAsia="仿宋" w:cs="仿宋"/>
                <w:sz w:val="24"/>
              </w:rPr>
            </w:pPr>
            <w:r>
              <w:rPr>
                <w:rFonts w:hint="eastAsia" w:ascii="仿宋" w:hAnsi="仿宋" w:eastAsia="仿宋" w:cs="仿宋"/>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433" w:type="pct"/>
            <w:vAlign w:val="center"/>
          </w:tcPr>
          <w:p>
            <w:pPr>
              <w:spacing w:line="560" w:lineRule="exact"/>
              <w:jc w:val="center"/>
              <w:rPr>
                <w:rFonts w:ascii="仿宋" w:hAnsi="仿宋" w:eastAsia="仿宋" w:cs="仿宋"/>
                <w:sz w:val="24"/>
              </w:rPr>
            </w:pPr>
            <w:r>
              <w:rPr>
                <w:rFonts w:hint="eastAsia" w:ascii="仿宋" w:hAnsi="仿宋" w:eastAsia="仿宋" w:cs="仿宋"/>
                <w:sz w:val="24"/>
              </w:rPr>
              <w:t>3</w:t>
            </w:r>
          </w:p>
        </w:tc>
        <w:tc>
          <w:tcPr>
            <w:tcW w:w="1242"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账簿的登记</w:t>
            </w:r>
          </w:p>
        </w:tc>
        <w:tc>
          <w:tcPr>
            <w:tcW w:w="2790" w:type="pct"/>
            <w:vAlign w:val="center"/>
          </w:tcPr>
          <w:p>
            <w:pPr>
              <w:spacing w:line="560" w:lineRule="exact"/>
              <w:jc w:val="left"/>
              <w:rPr>
                <w:rFonts w:ascii="仿宋" w:hAnsi="仿宋" w:eastAsia="仿宋" w:cs="仿宋"/>
                <w:sz w:val="24"/>
              </w:rPr>
            </w:pPr>
            <w:r>
              <w:rPr>
                <w:rFonts w:hint="eastAsia" w:ascii="仿宋" w:hAnsi="仿宋" w:eastAsia="仿宋" w:cs="仿宋"/>
                <w:sz w:val="24"/>
              </w:rPr>
              <w:t>会规范、正确、完整登记1套日记账或明细账或总账。</w:t>
            </w:r>
          </w:p>
        </w:tc>
        <w:tc>
          <w:tcPr>
            <w:tcW w:w="534" w:type="pct"/>
            <w:vAlign w:val="center"/>
          </w:tcPr>
          <w:p>
            <w:pPr>
              <w:spacing w:line="560" w:lineRule="exact"/>
              <w:jc w:val="center"/>
              <w:rPr>
                <w:rFonts w:ascii="仿宋" w:hAnsi="仿宋" w:eastAsia="仿宋" w:cs="仿宋"/>
                <w:sz w:val="24"/>
              </w:rPr>
            </w:pPr>
            <w:r>
              <w:rPr>
                <w:rFonts w:hint="eastAsia" w:ascii="仿宋" w:hAnsi="仿宋" w:eastAsia="仿宋" w:cs="仿宋"/>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433" w:type="pct"/>
            <w:vAlign w:val="center"/>
          </w:tcPr>
          <w:p>
            <w:pPr>
              <w:spacing w:line="560" w:lineRule="exact"/>
              <w:jc w:val="center"/>
              <w:rPr>
                <w:rFonts w:ascii="仿宋" w:hAnsi="仿宋" w:eastAsia="仿宋" w:cs="仿宋"/>
                <w:sz w:val="24"/>
              </w:rPr>
            </w:pPr>
            <w:r>
              <w:rPr>
                <w:rFonts w:hint="eastAsia" w:ascii="仿宋" w:hAnsi="仿宋" w:eastAsia="仿宋" w:cs="仿宋"/>
                <w:sz w:val="24"/>
              </w:rPr>
              <w:t>4</w:t>
            </w:r>
          </w:p>
        </w:tc>
        <w:tc>
          <w:tcPr>
            <w:tcW w:w="1242"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会计报表的编制</w:t>
            </w:r>
          </w:p>
        </w:tc>
        <w:tc>
          <w:tcPr>
            <w:tcW w:w="2790" w:type="pct"/>
            <w:vAlign w:val="center"/>
          </w:tcPr>
          <w:p>
            <w:pPr>
              <w:spacing w:line="560" w:lineRule="exact"/>
              <w:jc w:val="left"/>
              <w:rPr>
                <w:rFonts w:ascii="仿宋" w:hAnsi="仿宋" w:eastAsia="仿宋" w:cs="仿宋"/>
                <w:sz w:val="24"/>
              </w:rPr>
            </w:pPr>
            <w:r>
              <w:rPr>
                <w:rFonts w:hint="eastAsia" w:ascii="仿宋" w:hAnsi="仿宋" w:eastAsia="仿宋" w:cs="仿宋"/>
                <w:sz w:val="24"/>
              </w:rPr>
              <w:t>会规范、正确编制1张资产负债表或利润表。</w:t>
            </w:r>
          </w:p>
        </w:tc>
        <w:tc>
          <w:tcPr>
            <w:tcW w:w="534" w:type="pct"/>
            <w:vAlign w:val="center"/>
          </w:tcPr>
          <w:p>
            <w:pPr>
              <w:spacing w:line="560" w:lineRule="exact"/>
              <w:jc w:val="center"/>
              <w:rPr>
                <w:rFonts w:ascii="仿宋" w:hAnsi="仿宋" w:eastAsia="仿宋" w:cs="仿宋"/>
                <w:sz w:val="24"/>
              </w:rPr>
            </w:pPr>
            <w:r>
              <w:rPr>
                <w:rFonts w:hint="eastAsia" w:ascii="仿宋" w:hAnsi="仿宋" w:eastAsia="仿宋" w:cs="仿宋"/>
                <w:sz w:val="24"/>
              </w:rPr>
              <w:t>10</w:t>
            </w:r>
          </w:p>
        </w:tc>
      </w:tr>
    </w:tbl>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（二）会计电算化</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ascii="仿宋" w:hAnsi="仿宋" w:eastAsia="仿宋" w:cs="仿宋"/>
          <w:kern w:val="0"/>
          <w:sz w:val="28"/>
          <w:szCs w:val="28"/>
        </w:rPr>
      </w:pPr>
      <w:r>
        <w:rPr>
          <w:rFonts w:hint="eastAsia" w:ascii="仿宋" w:hAnsi="仿宋" w:eastAsia="仿宋" w:cs="仿宋"/>
          <w:kern w:val="0"/>
          <w:sz w:val="28"/>
          <w:szCs w:val="28"/>
        </w:rPr>
        <w:t>1.考试样题</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ascii="仿宋" w:hAnsi="仿宋" w:eastAsia="仿宋" w:cs="仿宋"/>
          <w:kern w:val="0"/>
          <w:sz w:val="28"/>
          <w:szCs w:val="28"/>
        </w:rPr>
      </w:pPr>
      <w:r>
        <w:rPr>
          <w:rFonts w:hint="eastAsia" w:ascii="仿宋" w:hAnsi="仿宋" w:eastAsia="仿宋" w:cs="仿宋"/>
          <w:kern w:val="0"/>
          <w:sz w:val="28"/>
          <w:szCs w:val="28"/>
        </w:rPr>
        <w:t>在规定时间内完成账套的设置、系统初始化，完成固定资产模块、工资模块、总账模块、报表管理模块的操作任务。时间60分钟，总分100分。</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ascii="仿宋" w:hAnsi="仿宋" w:eastAsia="仿宋" w:cs="仿宋"/>
          <w:kern w:val="0"/>
          <w:sz w:val="28"/>
          <w:szCs w:val="28"/>
        </w:rPr>
      </w:pPr>
      <w:r>
        <w:rPr>
          <w:rFonts w:hint="eastAsia" w:ascii="仿宋" w:hAnsi="仿宋" w:eastAsia="仿宋" w:cs="仿宋"/>
          <w:kern w:val="0"/>
          <w:sz w:val="28"/>
          <w:szCs w:val="28"/>
        </w:rPr>
        <w:t>2.评分标准</w:t>
      </w:r>
    </w:p>
    <w:tbl>
      <w:tblPr>
        <w:tblStyle w:val="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
        <w:gridCol w:w="1215"/>
        <w:gridCol w:w="5622"/>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blHeader/>
          <w:jc w:val="center"/>
        </w:trPr>
        <w:tc>
          <w:tcPr>
            <w:tcW w:w="450" w:type="pct"/>
            <w:vAlign w:val="center"/>
          </w:tcPr>
          <w:p>
            <w:pPr>
              <w:snapToGrid w:val="0"/>
              <w:spacing w:line="560" w:lineRule="exact"/>
              <w:ind w:left="-86" w:leftChars="-41" w:right="-134" w:rightChars="-64"/>
              <w:jc w:val="center"/>
              <w:rPr>
                <w:rFonts w:ascii="仿宋" w:hAnsi="仿宋" w:eastAsia="仿宋" w:cs="仿宋"/>
                <w:b/>
                <w:bCs/>
                <w:sz w:val="24"/>
              </w:rPr>
            </w:pPr>
            <w:r>
              <w:rPr>
                <w:rFonts w:hint="eastAsia" w:ascii="仿宋" w:hAnsi="仿宋" w:eastAsia="仿宋" w:cs="仿宋"/>
                <w:b/>
                <w:bCs/>
                <w:sz w:val="24"/>
              </w:rPr>
              <w:t>序号</w:t>
            </w:r>
          </w:p>
        </w:tc>
        <w:tc>
          <w:tcPr>
            <w:tcW w:w="713" w:type="pct"/>
            <w:vAlign w:val="center"/>
          </w:tcPr>
          <w:p>
            <w:pPr>
              <w:snapToGrid w:val="0"/>
              <w:spacing w:line="560" w:lineRule="exact"/>
              <w:jc w:val="center"/>
              <w:rPr>
                <w:rFonts w:ascii="仿宋" w:hAnsi="仿宋" w:eastAsia="仿宋" w:cs="仿宋"/>
                <w:b/>
                <w:bCs/>
                <w:sz w:val="24"/>
              </w:rPr>
            </w:pPr>
            <w:r>
              <w:rPr>
                <w:rFonts w:hint="eastAsia" w:ascii="仿宋" w:hAnsi="仿宋" w:eastAsia="仿宋" w:cs="仿宋"/>
                <w:b/>
                <w:bCs/>
                <w:sz w:val="24"/>
              </w:rPr>
              <w:t>评分要点</w:t>
            </w:r>
          </w:p>
        </w:tc>
        <w:tc>
          <w:tcPr>
            <w:tcW w:w="3299" w:type="pct"/>
            <w:vAlign w:val="center"/>
          </w:tcPr>
          <w:p>
            <w:pPr>
              <w:snapToGrid w:val="0"/>
              <w:spacing w:line="560" w:lineRule="exact"/>
              <w:jc w:val="center"/>
              <w:rPr>
                <w:rFonts w:ascii="仿宋" w:hAnsi="仿宋" w:eastAsia="仿宋" w:cs="仿宋"/>
                <w:b/>
                <w:bCs/>
                <w:sz w:val="24"/>
              </w:rPr>
            </w:pPr>
            <w:r>
              <w:rPr>
                <w:rFonts w:hint="eastAsia" w:ascii="仿宋" w:hAnsi="仿宋" w:eastAsia="仿宋" w:cs="仿宋"/>
                <w:b/>
                <w:bCs/>
                <w:sz w:val="24"/>
              </w:rPr>
              <w:t>评分依据</w:t>
            </w:r>
          </w:p>
        </w:tc>
        <w:tc>
          <w:tcPr>
            <w:tcW w:w="537" w:type="pct"/>
            <w:vAlign w:val="center"/>
          </w:tcPr>
          <w:p>
            <w:pPr>
              <w:snapToGrid w:val="0"/>
              <w:spacing w:line="560" w:lineRule="exact"/>
              <w:jc w:val="center"/>
              <w:rPr>
                <w:rFonts w:ascii="仿宋" w:hAnsi="仿宋" w:eastAsia="仿宋" w:cs="仿宋"/>
                <w:b/>
                <w:bCs/>
                <w:sz w:val="24"/>
              </w:rPr>
            </w:pPr>
            <w:r>
              <w:rPr>
                <w:rFonts w:hint="eastAsia" w:ascii="仿宋" w:hAnsi="仿宋" w:eastAsia="仿宋" w:cs="仿宋"/>
                <w:b/>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restar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1</w:t>
            </w:r>
          </w:p>
        </w:tc>
        <w:tc>
          <w:tcPr>
            <w:tcW w:w="713" w:type="pct"/>
            <w:vMerge w:val="restart"/>
            <w:vAlign w:val="center"/>
          </w:tcPr>
          <w:p>
            <w:pPr>
              <w:snapToGrid w:val="0"/>
              <w:spacing w:line="560" w:lineRule="exact"/>
              <w:rPr>
                <w:rFonts w:ascii="仿宋" w:hAnsi="仿宋" w:eastAsia="仿宋" w:cs="仿宋"/>
                <w:sz w:val="24"/>
              </w:rPr>
            </w:pPr>
            <w:r>
              <w:rPr>
                <w:rFonts w:hint="eastAsia" w:ascii="仿宋" w:hAnsi="仿宋" w:eastAsia="仿宋" w:cs="仿宋"/>
                <w:sz w:val="24"/>
              </w:rPr>
              <w:t>账套</w:t>
            </w: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备份和恢复账套数据。</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增加、减少操作员及设置权限。</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restar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2</w:t>
            </w:r>
          </w:p>
        </w:tc>
        <w:tc>
          <w:tcPr>
            <w:tcW w:w="713" w:type="pct"/>
            <w:vMerge w:val="restart"/>
            <w:vAlign w:val="center"/>
          </w:tcPr>
          <w:p>
            <w:pPr>
              <w:snapToGrid w:val="0"/>
              <w:spacing w:line="560" w:lineRule="exact"/>
              <w:rPr>
                <w:rFonts w:ascii="仿宋" w:hAnsi="仿宋" w:eastAsia="仿宋" w:cs="仿宋"/>
                <w:sz w:val="24"/>
              </w:rPr>
            </w:pPr>
            <w:r>
              <w:rPr>
                <w:rFonts w:hint="eastAsia" w:ascii="仿宋" w:hAnsi="仿宋" w:eastAsia="仿宋" w:cs="仿宋"/>
                <w:sz w:val="24"/>
              </w:rPr>
              <w:t>系统初始化</w:t>
            </w: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设置编码方案。</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设置系统公用基础信息，包括部门档案、职员信息、客户信息、供应商信息和项目信息。</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设置收付结算方式，包括结算方式编码和名称。</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设置凭证类别。</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设置会计科目，包括指定科目、增加、修改、删除科目、确定科目属性；设置往来科目为受控科目，且选择受控为空。</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50" w:type="pct"/>
            <w:vMerge w:val="restar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3</w:t>
            </w:r>
          </w:p>
        </w:tc>
        <w:tc>
          <w:tcPr>
            <w:tcW w:w="713" w:type="pct"/>
            <w:vMerge w:val="restart"/>
            <w:vAlign w:val="center"/>
          </w:tcPr>
          <w:p>
            <w:pPr>
              <w:snapToGrid w:val="0"/>
              <w:spacing w:line="560" w:lineRule="exact"/>
              <w:rPr>
                <w:rFonts w:ascii="仿宋" w:hAnsi="仿宋" w:eastAsia="仿宋" w:cs="仿宋"/>
                <w:sz w:val="24"/>
              </w:rPr>
            </w:pPr>
            <w:r>
              <w:rPr>
                <w:rFonts w:hint="eastAsia" w:ascii="仿宋" w:hAnsi="仿宋" w:eastAsia="仿宋" w:cs="仿宋"/>
                <w:sz w:val="24"/>
              </w:rPr>
              <w:t>固定资产模块</w:t>
            </w: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初始化设置固定资产模块，包括设置控制参数、设置基础信息、录入原始卡片。</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固定资产增加、减少与生成记账凭证。</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计提固定资产折旧。</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固定资产模块结账。</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50" w:type="pct"/>
            <w:vMerge w:val="restar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4</w:t>
            </w:r>
          </w:p>
        </w:tc>
        <w:tc>
          <w:tcPr>
            <w:tcW w:w="713" w:type="pct"/>
            <w:vMerge w:val="restart"/>
            <w:vAlign w:val="center"/>
          </w:tcPr>
          <w:p>
            <w:pPr>
              <w:snapToGrid w:val="0"/>
              <w:spacing w:line="560" w:lineRule="exact"/>
              <w:rPr>
                <w:rFonts w:ascii="仿宋" w:hAnsi="仿宋" w:eastAsia="仿宋" w:cs="仿宋"/>
                <w:sz w:val="24"/>
              </w:rPr>
            </w:pPr>
            <w:r>
              <w:rPr>
                <w:rFonts w:hint="eastAsia" w:ascii="仿宋" w:hAnsi="仿宋" w:eastAsia="仿宋" w:cs="仿宋"/>
                <w:sz w:val="24"/>
              </w:rPr>
              <w:t>职工薪酬</w:t>
            </w: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初始化设置工资模块，包括设置基础信息、录入工资基础数据。</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设置工资项目的计算公式。</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录入工资数据并计算汇总。</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设置工资分摊公式与生成凭证。</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工资模块结账。</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50" w:type="pct"/>
            <w:vMerge w:val="restar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5</w:t>
            </w:r>
          </w:p>
        </w:tc>
        <w:tc>
          <w:tcPr>
            <w:tcW w:w="713" w:type="pct"/>
            <w:vMerge w:val="restart"/>
            <w:vAlign w:val="center"/>
          </w:tcPr>
          <w:p>
            <w:pPr>
              <w:snapToGrid w:val="0"/>
              <w:spacing w:line="560" w:lineRule="exact"/>
              <w:rPr>
                <w:rFonts w:ascii="仿宋" w:hAnsi="仿宋" w:eastAsia="仿宋" w:cs="仿宋"/>
                <w:sz w:val="24"/>
              </w:rPr>
            </w:pPr>
            <w:r>
              <w:rPr>
                <w:rFonts w:hint="eastAsia" w:ascii="仿宋" w:hAnsi="仿宋" w:eastAsia="仿宋" w:cs="仿宋"/>
                <w:sz w:val="24"/>
              </w:rPr>
              <w:t>总账</w:t>
            </w: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初始化设置总账模块，包括设置控制参数、录入科目初始数据。</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反记账与反审核。</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输入企业基本经济业务的通用记账凭证。</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根据权限进行记账凭证的查询、审核、记账和对账。</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总账模块的期末结账。</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pct"/>
            <w:vMerge w:val="restar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6</w:t>
            </w:r>
          </w:p>
        </w:tc>
        <w:tc>
          <w:tcPr>
            <w:tcW w:w="713" w:type="pct"/>
            <w:vMerge w:val="restart"/>
            <w:vAlign w:val="center"/>
          </w:tcPr>
          <w:p>
            <w:pPr>
              <w:snapToGrid w:val="0"/>
              <w:spacing w:line="560" w:lineRule="exact"/>
              <w:rPr>
                <w:rFonts w:ascii="仿宋" w:hAnsi="仿宋" w:eastAsia="仿宋" w:cs="仿宋"/>
                <w:sz w:val="24"/>
              </w:rPr>
            </w:pPr>
            <w:r>
              <w:rPr>
                <w:rFonts w:hint="eastAsia" w:ascii="仿宋" w:hAnsi="仿宋" w:eastAsia="仿宋" w:cs="仿宋"/>
                <w:sz w:val="24"/>
              </w:rPr>
              <w:t>报表管理</w:t>
            </w: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利用报表模板生成资产负债表、利润表。</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设置、修改资产负债表、利润表的报表格式和报表项目的公式。</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450" w:type="pct"/>
            <w:vMerge w:val="continue"/>
            <w:vAlign w:val="center"/>
          </w:tcPr>
          <w:p>
            <w:pPr>
              <w:snapToGrid w:val="0"/>
              <w:spacing w:line="560" w:lineRule="exact"/>
              <w:jc w:val="center"/>
              <w:rPr>
                <w:rFonts w:ascii="仿宋" w:hAnsi="仿宋" w:eastAsia="仿宋" w:cs="仿宋"/>
                <w:sz w:val="24"/>
              </w:rPr>
            </w:pPr>
          </w:p>
        </w:tc>
        <w:tc>
          <w:tcPr>
            <w:tcW w:w="713" w:type="pct"/>
            <w:vMerge w:val="continue"/>
            <w:vAlign w:val="center"/>
          </w:tcPr>
          <w:p>
            <w:pPr>
              <w:snapToGrid w:val="0"/>
              <w:spacing w:line="560" w:lineRule="exact"/>
              <w:rPr>
                <w:rFonts w:ascii="仿宋" w:hAnsi="仿宋" w:eastAsia="仿宋" w:cs="仿宋"/>
                <w:sz w:val="24"/>
              </w:rPr>
            </w:pPr>
          </w:p>
        </w:tc>
        <w:tc>
          <w:tcPr>
            <w:tcW w:w="3299" w:type="pct"/>
          </w:tcPr>
          <w:p>
            <w:pPr>
              <w:snapToGrid w:val="0"/>
              <w:spacing w:line="560" w:lineRule="exact"/>
              <w:rPr>
                <w:rFonts w:ascii="仿宋" w:hAnsi="仿宋" w:eastAsia="仿宋" w:cs="仿宋"/>
                <w:sz w:val="24"/>
              </w:rPr>
            </w:pPr>
            <w:r>
              <w:rPr>
                <w:rFonts w:hint="eastAsia" w:ascii="仿宋" w:hAnsi="仿宋" w:eastAsia="仿宋" w:cs="仿宋"/>
                <w:sz w:val="24"/>
              </w:rPr>
              <w:t>生成、保存和按要求输出资产负债表、利润表。</w:t>
            </w:r>
          </w:p>
        </w:tc>
        <w:tc>
          <w:tcPr>
            <w:tcW w:w="537"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2</w:t>
            </w:r>
          </w:p>
        </w:tc>
      </w:tr>
    </w:tbl>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 w:hAnsi="楷体" w:eastAsia="楷体" w:cs="楷体"/>
          <w:b w:val="0"/>
          <w:bCs w:val="0"/>
          <w:kern w:val="0"/>
          <w:sz w:val="32"/>
          <w:szCs w:val="32"/>
        </w:rPr>
      </w:pPr>
      <w:bookmarkStart w:id="0" w:name="_GoBack"/>
      <w:r>
        <w:rPr>
          <w:rFonts w:hint="eastAsia" w:ascii="楷体" w:hAnsi="楷体" w:eastAsia="楷体" w:cs="楷体"/>
          <w:b w:val="0"/>
          <w:bCs w:val="0"/>
          <w:kern w:val="0"/>
          <w:sz w:val="32"/>
          <w:szCs w:val="32"/>
        </w:rPr>
        <w:t>（三）成本会计实务</w:t>
      </w:r>
    </w:p>
    <w:bookmarkEnd w:id="0"/>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ascii="仿宋" w:hAnsi="仿宋" w:eastAsia="仿宋" w:cs="仿宋"/>
          <w:kern w:val="0"/>
          <w:sz w:val="28"/>
          <w:szCs w:val="28"/>
        </w:rPr>
      </w:pPr>
      <w:r>
        <w:rPr>
          <w:rFonts w:hint="eastAsia" w:ascii="仿宋" w:hAnsi="仿宋" w:eastAsia="仿宋" w:cs="仿宋"/>
          <w:kern w:val="0"/>
          <w:sz w:val="28"/>
          <w:szCs w:val="28"/>
        </w:rPr>
        <w:t>1.考试样题</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ascii="仿宋" w:hAnsi="仿宋" w:eastAsia="仿宋" w:cs="仿宋"/>
          <w:kern w:val="0"/>
          <w:sz w:val="28"/>
          <w:szCs w:val="28"/>
        </w:rPr>
      </w:pPr>
      <w:r>
        <w:rPr>
          <w:rFonts w:hint="eastAsia" w:ascii="仿宋" w:hAnsi="仿宋" w:eastAsia="仿宋" w:cs="仿宋"/>
          <w:kern w:val="0"/>
          <w:sz w:val="28"/>
          <w:szCs w:val="28"/>
        </w:rPr>
        <w:t>在规定时间内完成材料费用的归集和分配、职工薪酬费用的归集和分配、辅助生产费用的归集和分配、制造费用的归集和分配、完工产品成本与在产品成本的计算，时间60分钟，总分100分。</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ascii="仿宋" w:hAnsi="仿宋" w:eastAsia="仿宋" w:cs="仿宋"/>
          <w:kern w:val="0"/>
          <w:sz w:val="28"/>
          <w:szCs w:val="28"/>
        </w:rPr>
      </w:pPr>
      <w:r>
        <w:rPr>
          <w:rFonts w:hint="eastAsia" w:ascii="仿宋" w:hAnsi="仿宋" w:eastAsia="仿宋" w:cs="仿宋"/>
          <w:kern w:val="0"/>
          <w:sz w:val="28"/>
          <w:szCs w:val="28"/>
        </w:rPr>
        <w:t>2.评分标准</w:t>
      </w:r>
    </w:p>
    <w:tbl>
      <w:tblPr>
        <w:tblStyle w:val="4"/>
        <w:tblW w:w="49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5"/>
        <w:gridCol w:w="1295"/>
        <w:gridCol w:w="5327"/>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13" w:type="pct"/>
            <w:vAlign w:val="center"/>
          </w:tcPr>
          <w:p>
            <w:pPr>
              <w:snapToGrid w:val="0"/>
              <w:spacing w:line="560" w:lineRule="exact"/>
              <w:jc w:val="center"/>
              <w:rPr>
                <w:rFonts w:ascii="仿宋" w:hAnsi="仿宋" w:eastAsia="仿宋" w:cs="仿宋"/>
                <w:b/>
                <w:bCs/>
                <w:sz w:val="24"/>
              </w:rPr>
            </w:pPr>
            <w:r>
              <w:rPr>
                <w:rFonts w:hint="eastAsia" w:ascii="仿宋" w:hAnsi="仿宋" w:eastAsia="仿宋" w:cs="仿宋"/>
                <w:b/>
                <w:bCs/>
                <w:sz w:val="24"/>
              </w:rPr>
              <w:t>序号</w:t>
            </w:r>
          </w:p>
        </w:tc>
        <w:tc>
          <w:tcPr>
            <w:tcW w:w="767" w:type="pct"/>
            <w:vAlign w:val="center"/>
          </w:tcPr>
          <w:p>
            <w:pPr>
              <w:snapToGrid w:val="0"/>
              <w:spacing w:line="560" w:lineRule="exact"/>
              <w:jc w:val="center"/>
              <w:rPr>
                <w:rFonts w:ascii="仿宋" w:hAnsi="仿宋" w:eastAsia="仿宋" w:cs="仿宋"/>
                <w:b/>
                <w:bCs/>
                <w:sz w:val="24"/>
              </w:rPr>
            </w:pPr>
            <w:r>
              <w:rPr>
                <w:rFonts w:hint="eastAsia" w:ascii="仿宋" w:hAnsi="仿宋" w:eastAsia="仿宋" w:cs="仿宋"/>
                <w:b/>
                <w:bCs/>
                <w:sz w:val="24"/>
              </w:rPr>
              <w:t>评分要点</w:t>
            </w:r>
          </w:p>
        </w:tc>
        <w:tc>
          <w:tcPr>
            <w:tcW w:w="3155" w:type="pct"/>
            <w:vAlign w:val="center"/>
          </w:tcPr>
          <w:p>
            <w:pPr>
              <w:snapToGrid w:val="0"/>
              <w:spacing w:line="560" w:lineRule="exact"/>
              <w:jc w:val="center"/>
              <w:rPr>
                <w:rFonts w:ascii="仿宋" w:hAnsi="仿宋" w:eastAsia="仿宋" w:cs="仿宋"/>
                <w:b/>
                <w:bCs/>
                <w:sz w:val="24"/>
              </w:rPr>
            </w:pPr>
            <w:r>
              <w:rPr>
                <w:rFonts w:hint="eastAsia" w:ascii="仿宋" w:hAnsi="仿宋" w:eastAsia="仿宋" w:cs="仿宋"/>
                <w:b/>
                <w:bCs/>
                <w:sz w:val="24"/>
              </w:rPr>
              <w:t>评分依据</w:t>
            </w:r>
          </w:p>
        </w:tc>
        <w:tc>
          <w:tcPr>
            <w:tcW w:w="462" w:type="pct"/>
            <w:vAlign w:val="center"/>
          </w:tcPr>
          <w:p>
            <w:pPr>
              <w:snapToGrid w:val="0"/>
              <w:spacing w:line="560" w:lineRule="exact"/>
              <w:jc w:val="center"/>
              <w:rPr>
                <w:rFonts w:ascii="仿宋" w:hAnsi="仿宋" w:eastAsia="仿宋" w:cs="仿宋"/>
                <w:b/>
                <w:bCs/>
                <w:sz w:val="24"/>
              </w:rPr>
            </w:pPr>
            <w:r>
              <w:rPr>
                <w:rFonts w:hint="eastAsia" w:ascii="仿宋" w:hAnsi="仿宋" w:eastAsia="仿宋" w:cs="仿宋"/>
                <w:b/>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13" w:type="pct"/>
            <w:vMerge w:val="restar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1</w:t>
            </w:r>
          </w:p>
        </w:tc>
        <w:tc>
          <w:tcPr>
            <w:tcW w:w="767" w:type="pct"/>
            <w:vMerge w:val="restart"/>
            <w:vAlign w:val="center"/>
          </w:tcPr>
          <w:p>
            <w:pPr>
              <w:snapToGrid w:val="0"/>
              <w:spacing w:line="560" w:lineRule="exact"/>
              <w:rPr>
                <w:rFonts w:ascii="仿宋" w:hAnsi="仿宋" w:eastAsia="仿宋" w:cs="仿宋"/>
                <w:sz w:val="24"/>
              </w:rPr>
            </w:pPr>
            <w:r>
              <w:rPr>
                <w:rFonts w:hint="eastAsia" w:ascii="仿宋" w:hAnsi="仿宋" w:eastAsia="仿宋" w:cs="仿宋"/>
                <w:sz w:val="24"/>
              </w:rPr>
              <w:t>材料费用</w:t>
            </w:r>
          </w:p>
        </w:tc>
        <w:tc>
          <w:tcPr>
            <w:tcW w:w="3155" w:type="pct"/>
            <w:vAlign w:val="center"/>
          </w:tcPr>
          <w:p>
            <w:pPr>
              <w:snapToGrid w:val="0"/>
              <w:spacing w:line="560" w:lineRule="exact"/>
              <w:rPr>
                <w:rFonts w:ascii="仿宋" w:hAnsi="仿宋" w:eastAsia="仿宋" w:cs="仿宋"/>
                <w:sz w:val="24"/>
              </w:rPr>
            </w:pPr>
            <w:r>
              <w:rPr>
                <w:rFonts w:hint="eastAsia" w:ascii="仿宋" w:hAnsi="仿宋" w:eastAsia="仿宋" w:cs="仿宋"/>
                <w:sz w:val="24"/>
              </w:rPr>
              <w:t>正确归集材料费用。</w:t>
            </w:r>
          </w:p>
        </w:tc>
        <w:tc>
          <w:tcPr>
            <w:tcW w:w="462"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13" w:type="pct"/>
            <w:vMerge w:val="continue"/>
            <w:vAlign w:val="center"/>
          </w:tcPr>
          <w:p>
            <w:pPr>
              <w:snapToGrid w:val="0"/>
              <w:spacing w:line="560" w:lineRule="exact"/>
              <w:jc w:val="center"/>
              <w:rPr>
                <w:rFonts w:ascii="仿宋" w:hAnsi="仿宋" w:eastAsia="仿宋" w:cs="仿宋"/>
                <w:sz w:val="24"/>
              </w:rPr>
            </w:pPr>
          </w:p>
        </w:tc>
        <w:tc>
          <w:tcPr>
            <w:tcW w:w="767" w:type="pct"/>
            <w:vMerge w:val="continue"/>
            <w:vAlign w:val="center"/>
          </w:tcPr>
          <w:p>
            <w:pPr>
              <w:snapToGrid w:val="0"/>
              <w:spacing w:line="560" w:lineRule="exact"/>
              <w:rPr>
                <w:rFonts w:ascii="仿宋" w:hAnsi="仿宋" w:eastAsia="仿宋" w:cs="仿宋"/>
                <w:sz w:val="24"/>
              </w:rPr>
            </w:pPr>
          </w:p>
        </w:tc>
        <w:tc>
          <w:tcPr>
            <w:tcW w:w="3155" w:type="pct"/>
            <w:vAlign w:val="center"/>
          </w:tcPr>
          <w:p>
            <w:pPr>
              <w:snapToGrid w:val="0"/>
              <w:spacing w:line="560" w:lineRule="exact"/>
              <w:rPr>
                <w:rFonts w:ascii="仿宋" w:hAnsi="仿宋" w:eastAsia="仿宋" w:cs="仿宋"/>
                <w:sz w:val="24"/>
              </w:rPr>
            </w:pPr>
            <w:r>
              <w:rPr>
                <w:rFonts w:hint="eastAsia" w:ascii="仿宋" w:hAnsi="仿宋" w:eastAsia="仿宋" w:cs="仿宋"/>
                <w:sz w:val="24"/>
              </w:rPr>
              <w:t>正确分配材料费用及编制记账凭证。</w:t>
            </w:r>
          </w:p>
        </w:tc>
        <w:tc>
          <w:tcPr>
            <w:tcW w:w="462"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13" w:type="pct"/>
            <w:vMerge w:val="restar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2</w:t>
            </w:r>
          </w:p>
        </w:tc>
        <w:tc>
          <w:tcPr>
            <w:tcW w:w="767" w:type="pct"/>
            <w:vMerge w:val="restart"/>
            <w:vAlign w:val="center"/>
          </w:tcPr>
          <w:p>
            <w:pPr>
              <w:snapToGrid w:val="0"/>
              <w:spacing w:line="560" w:lineRule="exact"/>
              <w:rPr>
                <w:rFonts w:ascii="仿宋" w:hAnsi="仿宋" w:eastAsia="仿宋" w:cs="仿宋"/>
                <w:sz w:val="24"/>
              </w:rPr>
            </w:pPr>
            <w:r>
              <w:rPr>
                <w:rFonts w:hint="eastAsia" w:ascii="仿宋" w:hAnsi="仿宋" w:eastAsia="仿宋" w:cs="仿宋"/>
                <w:sz w:val="24"/>
              </w:rPr>
              <w:t>职工薪酬费用</w:t>
            </w:r>
          </w:p>
        </w:tc>
        <w:tc>
          <w:tcPr>
            <w:tcW w:w="3155" w:type="pct"/>
            <w:vAlign w:val="center"/>
          </w:tcPr>
          <w:p>
            <w:pPr>
              <w:snapToGrid w:val="0"/>
              <w:spacing w:line="560" w:lineRule="exact"/>
              <w:rPr>
                <w:rFonts w:ascii="仿宋" w:hAnsi="仿宋" w:eastAsia="仿宋" w:cs="仿宋"/>
                <w:sz w:val="24"/>
              </w:rPr>
            </w:pPr>
            <w:r>
              <w:rPr>
                <w:rFonts w:hint="eastAsia" w:ascii="仿宋" w:hAnsi="仿宋" w:eastAsia="仿宋" w:cs="仿宋"/>
                <w:sz w:val="24"/>
              </w:rPr>
              <w:t>正确归集职工薪酬费用。</w:t>
            </w:r>
          </w:p>
        </w:tc>
        <w:tc>
          <w:tcPr>
            <w:tcW w:w="462"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13" w:type="pct"/>
            <w:vMerge w:val="continue"/>
            <w:vAlign w:val="center"/>
          </w:tcPr>
          <w:p>
            <w:pPr>
              <w:snapToGrid w:val="0"/>
              <w:spacing w:line="560" w:lineRule="exact"/>
              <w:jc w:val="center"/>
              <w:rPr>
                <w:rFonts w:ascii="仿宋" w:hAnsi="仿宋" w:eastAsia="仿宋" w:cs="仿宋"/>
                <w:sz w:val="24"/>
              </w:rPr>
            </w:pPr>
          </w:p>
        </w:tc>
        <w:tc>
          <w:tcPr>
            <w:tcW w:w="767" w:type="pct"/>
            <w:vMerge w:val="continue"/>
            <w:vAlign w:val="center"/>
          </w:tcPr>
          <w:p>
            <w:pPr>
              <w:snapToGrid w:val="0"/>
              <w:spacing w:line="560" w:lineRule="exact"/>
              <w:rPr>
                <w:rFonts w:ascii="仿宋" w:hAnsi="仿宋" w:eastAsia="仿宋" w:cs="仿宋"/>
                <w:sz w:val="24"/>
              </w:rPr>
            </w:pPr>
          </w:p>
        </w:tc>
        <w:tc>
          <w:tcPr>
            <w:tcW w:w="3155" w:type="pct"/>
            <w:vAlign w:val="center"/>
          </w:tcPr>
          <w:p>
            <w:pPr>
              <w:snapToGrid w:val="0"/>
              <w:spacing w:line="560" w:lineRule="exact"/>
              <w:rPr>
                <w:rFonts w:ascii="仿宋" w:hAnsi="仿宋" w:eastAsia="仿宋" w:cs="仿宋"/>
                <w:sz w:val="24"/>
              </w:rPr>
            </w:pPr>
            <w:r>
              <w:rPr>
                <w:rFonts w:hint="eastAsia" w:ascii="仿宋" w:hAnsi="仿宋" w:eastAsia="仿宋" w:cs="仿宋"/>
                <w:sz w:val="24"/>
              </w:rPr>
              <w:t>正确分配职工薪酬费用及编制记账凭证。</w:t>
            </w:r>
          </w:p>
        </w:tc>
        <w:tc>
          <w:tcPr>
            <w:tcW w:w="462"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13" w:type="pct"/>
            <w:vMerge w:val="restar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3</w:t>
            </w:r>
          </w:p>
        </w:tc>
        <w:tc>
          <w:tcPr>
            <w:tcW w:w="767" w:type="pct"/>
            <w:vMerge w:val="restart"/>
            <w:vAlign w:val="center"/>
          </w:tcPr>
          <w:p>
            <w:pPr>
              <w:snapToGrid w:val="0"/>
              <w:spacing w:line="560" w:lineRule="exact"/>
              <w:rPr>
                <w:rFonts w:ascii="仿宋" w:hAnsi="仿宋" w:eastAsia="仿宋" w:cs="仿宋"/>
                <w:sz w:val="24"/>
              </w:rPr>
            </w:pPr>
            <w:r>
              <w:rPr>
                <w:rFonts w:hint="eastAsia" w:ascii="仿宋" w:hAnsi="仿宋" w:eastAsia="仿宋" w:cs="仿宋"/>
                <w:sz w:val="24"/>
              </w:rPr>
              <w:t>辅助生产费用</w:t>
            </w:r>
          </w:p>
        </w:tc>
        <w:tc>
          <w:tcPr>
            <w:tcW w:w="3155" w:type="pct"/>
            <w:vAlign w:val="center"/>
          </w:tcPr>
          <w:p>
            <w:pPr>
              <w:snapToGrid w:val="0"/>
              <w:spacing w:line="560" w:lineRule="exact"/>
              <w:rPr>
                <w:rFonts w:ascii="仿宋" w:hAnsi="仿宋" w:eastAsia="仿宋" w:cs="仿宋"/>
                <w:sz w:val="24"/>
              </w:rPr>
            </w:pPr>
            <w:r>
              <w:rPr>
                <w:rFonts w:hint="eastAsia" w:ascii="仿宋" w:hAnsi="仿宋" w:eastAsia="仿宋" w:cs="仿宋"/>
                <w:sz w:val="24"/>
              </w:rPr>
              <w:t>正确归集辅助生产费用。</w:t>
            </w:r>
          </w:p>
        </w:tc>
        <w:tc>
          <w:tcPr>
            <w:tcW w:w="462"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613" w:type="pct"/>
            <w:vMerge w:val="continue"/>
            <w:vAlign w:val="center"/>
          </w:tcPr>
          <w:p>
            <w:pPr>
              <w:snapToGrid w:val="0"/>
              <w:spacing w:line="560" w:lineRule="exact"/>
              <w:jc w:val="center"/>
              <w:rPr>
                <w:rFonts w:ascii="仿宋" w:hAnsi="仿宋" w:eastAsia="仿宋" w:cs="仿宋"/>
                <w:sz w:val="24"/>
              </w:rPr>
            </w:pPr>
          </w:p>
        </w:tc>
        <w:tc>
          <w:tcPr>
            <w:tcW w:w="767" w:type="pct"/>
            <w:vMerge w:val="continue"/>
            <w:vAlign w:val="center"/>
          </w:tcPr>
          <w:p>
            <w:pPr>
              <w:snapToGrid w:val="0"/>
              <w:spacing w:line="560" w:lineRule="exact"/>
              <w:rPr>
                <w:rFonts w:ascii="仿宋" w:hAnsi="仿宋" w:eastAsia="仿宋" w:cs="仿宋"/>
                <w:sz w:val="24"/>
              </w:rPr>
            </w:pPr>
          </w:p>
        </w:tc>
        <w:tc>
          <w:tcPr>
            <w:tcW w:w="3155" w:type="pct"/>
            <w:vAlign w:val="center"/>
          </w:tcPr>
          <w:p>
            <w:pPr>
              <w:snapToGrid w:val="0"/>
              <w:spacing w:line="560" w:lineRule="exact"/>
              <w:rPr>
                <w:rFonts w:ascii="仿宋" w:hAnsi="仿宋" w:eastAsia="仿宋" w:cs="仿宋"/>
                <w:sz w:val="24"/>
              </w:rPr>
            </w:pPr>
            <w:r>
              <w:rPr>
                <w:rFonts w:hint="eastAsia" w:ascii="仿宋" w:hAnsi="仿宋" w:eastAsia="仿宋" w:cs="仿宋"/>
                <w:sz w:val="24"/>
              </w:rPr>
              <w:t>正确分配辅助生产费用（直接分配法或交互分配法）及编制记账凭证。</w:t>
            </w:r>
          </w:p>
        </w:tc>
        <w:tc>
          <w:tcPr>
            <w:tcW w:w="462"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13" w:type="pct"/>
            <w:vMerge w:val="restar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4</w:t>
            </w:r>
          </w:p>
        </w:tc>
        <w:tc>
          <w:tcPr>
            <w:tcW w:w="767" w:type="pct"/>
            <w:vMerge w:val="restart"/>
            <w:vAlign w:val="center"/>
          </w:tcPr>
          <w:p>
            <w:pPr>
              <w:snapToGrid w:val="0"/>
              <w:spacing w:line="560" w:lineRule="exact"/>
              <w:rPr>
                <w:rFonts w:ascii="仿宋" w:hAnsi="仿宋" w:eastAsia="仿宋" w:cs="仿宋"/>
                <w:sz w:val="24"/>
              </w:rPr>
            </w:pPr>
            <w:r>
              <w:rPr>
                <w:rFonts w:hint="eastAsia" w:ascii="仿宋" w:hAnsi="仿宋" w:eastAsia="仿宋" w:cs="仿宋"/>
                <w:sz w:val="24"/>
              </w:rPr>
              <w:t>制造费用</w:t>
            </w:r>
          </w:p>
        </w:tc>
        <w:tc>
          <w:tcPr>
            <w:tcW w:w="3155" w:type="pct"/>
            <w:vAlign w:val="center"/>
          </w:tcPr>
          <w:p>
            <w:pPr>
              <w:snapToGrid w:val="0"/>
              <w:spacing w:line="560" w:lineRule="exact"/>
              <w:rPr>
                <w:rFonts w:ascii="仿宋" w:hAnsi="仿宋" w:eastAsia="仿宋" w:cs="仿宋"/>
                <w:sz w:val="24"/>
              </w:rPr>
            </w:pPr>
            <w:r>
              <w:rPr>
                <w:rFonts w:hint="eastAsia" w:ascii="仿宋" w:hAnsi="仿宋" w:eastAsia="仿宋" w:cs="仿宋"/>
                <w:sz w:val="24"/>
              </w:rPr>
              <w:t>正确归集制造费用。</w:t>
            </w:r>
          </w:p>
        </w:tc>
        <w:tc>
          <w:tcPr>
            <w:tcW w:w="462"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613" w:type="pct"/>
            <w:vMerge w:val="continue"/>
            <w:vAlign w:val="center"/>
          </w:tcPr>
          <w:p>
            <w:pPr>
              <w:snapToGrid w:val="0"/>
              <w:spacing w:line="560" w:lineRule="exact"/>
              <w:jc w:val="center"/>
              <w:rPr>
                <w:rFonts w:ascii="仿宋" w:hAnsi="仿宋" w:eastAsia="仿宋" w:cs="仿宋"/>
                <w:sz w:val="24"/>
              </w:rPr>
            </w:pPr>
          </w:p>
        </w:tc>
        <w:tc>
          <w:tcPr>
            <w:tcW w:w="767" w:type="pct"/>
            <w:vMerge w:val="continue"/>
            <w:vAlign w:val="center"/>
          </w:tcPr>
          <w:p>
            <w:pPr>
              <w:snapToGrid w:val="0"/>
              <w:spacing w:line="560" w:lineRule="exact"/>
              <w:rPr>
                <w:rFonts w:ascii="仿宋" w:hAnsi="仿宋" w:eastAsia="仿宋" w:cs="仿宋"/>
                <w:sz w:val="24"/>
              </w:rPr>
            </w:pPr>
          </w:p>
        </w:tc>
        <w:tc>
          <w:tcPr>
            <w:tcW w:w="3155" w:type="pct"/>
            <w:vAlign w:val="center"/>
          </w:tcPr>
          <w:p>
            <w:pPr>
              <w:snapToGrid w:val="0"/>
              <w:spacing w:line="560" w:lineRule="exact"/>
              <w:rPr>
                <w:rFonts w:ascii="仿宋" w:hAnsi="仿宋" w:eastAsia="仿宋" w:cs="仿宋"/>
                <w:sz w:val="24"/>
              </w:rPr>
            </w:pPr>
            <w:r>
              <w:rPr>
                <w:rFonts w:hint="eastAsia" w:ascii="仿宋" w:hAnsi="仿宋" w:eastAsia="仿宋" w:cs="仿宋"/>
                <w:sz w:val="24"/>
              </w:rPr>
              <w:t>正确分配制造费用（生产工时或机器工时或生产工人工资）及编制记账凭证。</w:t>
            </w:r>
          </w:p>
        </w:tc>
        <w:tc>
          <w:tcPr>
            <w:tcW w:w="462"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13" w:type="pct"/>
            <w:vMerge w:val="restar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5</w:t>
            </w:r>
          </w:p>
        </w:tc>
        <w:tc>
          <w:tcPr>
            <w:tcW w:w="767" w:type="pct"/>
            <w:vMerge w:val="restart"/>
            <w:vAlign w:val="center"/>
          </w:tcPr>
          <w:p>
            <w:pPr>
              <w:snapToGrid w:val="0"/>
              <w:spacing w:line="560" w:lineRule="exact"/>
              <w:rPr>
                <w:rFonts w:ascii="仿宋" w:hAnsi="仿宋" w:eastAsia="仿宋" w:cs="仿宋"/>
                <w:sz w:val="24"/>
              </w:rPr>
            </w:pPr>
            <w:r>
              <w:rPr>
                <w:rFonts w:hint="eastAsia" w:ascii="仿宋" w:hAnsi="仿宋" w:eastAsia="仿宋" w:cs="仿宋"/>
                <w:sz w:val="24"/>
              </w:rPr>
              <w:t>完工产品成本与在产品成本</w:t>
            </w:r>
          </w:p>
        </w:tc>
        <w:tc>
          <w:tcPr>
            <w:tcW w:w="3155" w:type="pct"/>
            <w:vAlign w:val="center"/>
          </w:tcPr>
          <w:p>
            <w:pPr>
              <w:snapToGrid w:val="0"/>
              <w:spacing w:line="560" w:lineRule="exact"/>
              <w:rPr>
                <w:rFonts w:ascii="仿宋" w:hAnsi="仿宋" w:eastAsia="仿宋" w:cs="仿宋"/>
                <w:sz w:val="24"/>
              </w:rPr>
            </w:pPr>
            <w:r>
              <w:rPr>
                <w:rFonts w:hint="eastAsia" w:ascii="仿宋" w:hAnsi="仿宋" w:eastAsia="仿宋" w:cs="仿宋"/>
                <w:sz w:val="24"/>
              </w:rPr>
              <w:t>正确计算在产品的约当产量。</w:t>
            </w:r>
          </w:p>
        </w:tc>
        <w:tc>
          <w:tcPr>
            <w:tcW w:w="462"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613" w:type="pct"/>
            <w:vMerge w:val="continue"/>
            <w:vAlign w:val="center"/>
          </w:tcPr>
          <w:p>
            <w:pPr>
              <w:snapToGrid w:val="0"/>
              <w:spacing w:line="560" w:lineRule="exact"/>
              <w:jc w:val="center"/>
              <w:rPr>
                <w:rFonts w:ascii="仿宋" w:hAnsi="仿宋" w:eastAsia="仿宋" w:cs="仿宋"/>
                <w:sz w:val="24"/>
              </w:rPr>
            </w:pPr>
          </w:p>
        </w:tc>
        <w:tc>
          <w:tcPr>
            <w:tcW w:w="767" w:type="pct"/>
            <w:vMerge w:val="continue"/>
            <w:vAlign w:val="center"/>
          </w:tcPr>
          <w:p>
            <w:pPr>
              <w:snapToGrid w:val="0"/>
              <w:spacing w:line="560" w:lineRule="exact"/>
              <w:rPr>
                <w:rFonts w:ascii="仿宋" w:hAnsi="仿宋" w:eastAsia="仿宋" w:cs="仿宋"/>
                <w:sz w:val="24"/>
              </w:rPr>
            </w:pPr>
          </w:p>
        </w:tc>
        <w:tc>
          <w:tcPr>
            <w:tcW w:w="3155" w:type="pct"/>
            <w:vAlign w:val="center"/>
          </w:tcPr>
          <w:p>
            <w:pPr>
              <w:snapToGrid w:val="0"/>
              <w:spacing w:line="560" w:lineRule="exact"/>
              <w:rPr>
                <w:rFonts w:ascii="仿宋" w:hAnsi="仿宋" w:eastAsia="仿宋" w:cs="仿宋"/>
                <w:sz w:val="24"/>
              </w:rPr>
            </w:pPr>
            <w:r>
              <w:rPr>
                <w:rFonts w:hint="eastAsia" w:ascii="仿宋" w:hAnsi="仿宋" w:eastAsia="仿宋" w:cs="仿宋"/>
                <w:sz w:val="24"/>
              </w:rPr>
              <w:t>正确分配完工产品和在产品之间的成本费用及编制记账凭证。</w:t>
            </w:r>
          </w:p>
        </w:tc>
        <w:tc>
          <w:tcPr>
            <w:tcW w:w="462" w:type="pct"/>
            <w:vAlign w:val="center"/>
          </w:tcPr>
          <w:p>
            <w:pPr>
              <w:snapToGrid w:val="0"/>
              <w:spacing w:line="560" w:lineRule="exact"/>
              <w:jc w:val="center"/>
              <w:rPr>
                <w:rFonts w:ascii="仿宋" w:hAnsi="仿宋" w:eastAsia="仿宋" w:cs="仿宋"/>
                <w:sz w:val="24"/>
              </w:rPr>
            </w:pPr>
            <w:r>
              <w:rPr>
                <w:rFonts w:hint="eastAsia" w:ascii="仿宋" w:hAnsi="仿宋" w:eastAsia="仿宋" w:cs="仿宋"/>
                <w:sz w:val="24"/>
              </w:rPr>
              <w:t>25</w:t>
            </w:r>
          </w:p>
        </w:tc>
      </w:tr>
    </w:tbl>
    <w:p>
      <w:pPr>
        <w:spacing w:line="360" w:lineRule="auto"/>
        <w:rPr>
          <w:rFonts w:ascii="仿宋" w:hAnsi="仿宋" w:eastAsia="仿宋" w:cs="仿宋"/>
          <w:kern w:val="0"/>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34F"/>
    <w:rsid w:val="00092256"/>
    <w:rsid w:val="0010792D"/>
    <w:rsid w:val="00135B4D"/>
    <w:rsid w:val="00143AF1"/>
    <w:rsid w:val="00155CB4"/>
    <w:rsid w:val="001A15FB"/>
    <w:rsid w:val="001D3404"/>
    <w:rsid w:val="001F47A2"/>
    <w:rsid w:val="001F60F8"/>
    <w:rsid w:val="00230668"/>
    <w:rsid w:val="0035234F"/>
    <w:rsid w:val="00360206"/>
    <w:rsid w:val="00387B26"/>
    <w:rsid w:val="0039464C"/>
    <w:rsid w:val="00424B21"/>
    <w:rsid w:val="00477510"/>
    <w:rsid w:val="00477EF4"/>
    <w:rsid w:val="004E4C44"/>
    <w:rsid w:val="005765BD"/>
    <w:rsid w:val="00592FF5"/>
    <w:rsid w:val="006100F7"/>
    <w:rsid w:val="006D605A"/>
    <w:rsid w:val="00816736"/>
    <w:rsid w:val="008505D9"/>
    <w:rsid w:val="008572EE"/>
    <w:rsid w:val="00891BAC"/>
    <w:rsid w:val="008D0E9F"/>
    <w:rsid w:val="00985E03"/>
    <w:rsid w:val="009B028E"/>
    <w:rsid w:val="009C09A3"/>
    <w:rsid w:val="009E2BDC"/>
    <w:rsid w:val="00A46748"/>
    <w:rsid w:val="00AB2BD3"/>
    <w:rsid w:val="00B14E34"/>
    <w:rsid w:val="00B548FE"/>
    <w:rsid w:val="00B6616A"/>
    <w:rsid w:val="00BD0595"/>
    <w:rsid w:val="00C16E4E"/>
    <w:rsid w:val="00C61533"/>
    <w:rsid w:val="00CB7964"/>
    <w:rsid w:val="00CD6425"/>
    <w:rsid w:val="00CF781F"/>
    <w:rsid w:val="00D63ABC"/>
    <w:rsid w:val="00D85251"/>
    <w:rsid w:val="00D8729E"/>
    <w:rsid w:val="00DB2D27"/>
    <w:rsid w:val="00DC00D0"/>
    <w:rsid w:val="00DE1BBD"/>
    <w:rsid w:val="00DE67F9"/>
    <w:rsid w:val="00E35DD9"/>
    <w:rsid w:val="00EE1FD9"/>
    <w:rsid w:val="00F05D82"/>
    <w:rsid w:val="00F833D2"/>
    <w:rsid w:val="06AF3003"/>
    <w:rsid w:val="17010F8A"/>
    <w:rsid w:val="1A1C0AB1"/>
    <w:rsid w:val="28FB6647"/>
    <w:rsid w:val="2BB02663"/>
    <w:rsid w:val="2D0714B3"/>
    <w:rsid w:val="2FCD385B"/>
    <w:rsid w:val="33FF1E87"/>
    <w:rsid w:val="386554BF"/>
    <w:rsid w:val="3A3B41DE"/>
    <w:rsid w:val="3CA56CED"/>
    <w:rsid w:val="469D103F"/>
    <w:rsid w:val="5E0A1676"/>
    <w:rsid w:val="606F3C2B"/>
    <w:rsid w:val="609D4D3B"/>
    <w:rsid w:val="63A24A51"/>
    <w:rsid w:val="65FF0ABE"/>
    <w:rsid w:val="67F70CEC"/>
    <w:rsid w:val="68F24EBF"/>
    <w:rsid w:val="69E240E2"/>
    <w:rsid w:val="760B042B"/>
    <w:rsid w:val="77C54B0F"/>
    <w:rsid w:val="7D611A07"/>
    <w:rsid w:val="7FC62EE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qFormat/>
    <w:uiPriority w:val="99"/>
    <w:rPr>
      <w:rFonts w:cs="Times New Roman"/>
    </w:rPr>
  </w:style>
  <w:style w:type="character" w:customStyle="1" w:styleId="8">
    <w:name w:val="页眉 字符"/>
    <w:link w:val="3"/>
    <w:qFormat/>
    <w:locked/>
    <w:uiPriority w:val="99"/>
    <w:rPr>
      <w:rFonts w:cs="Times New Roman"/>
      <w:sz w:val="18"/>
      <w:szCs w:val="18"/>
    </w:rPr>
  </w:style>
  <w:style w:type="character" w:customStyle="1" w:styleId="9">
    <w:name w:val="页脚 字符"/>
    <w:link w:val="2"/>
    <w:qFormat/>
    <w:locked/>
    <w:uiPriority w:val="99"/>
    <w:rPr>
      <w:rFonts w:cs="Times New Roman"/>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MicroWin10.com</Company>
  <Pages>7</Pages>
  <Words>460</Words>
  <Characters>2624</Characters>
  <Lines>21</Lines>
  <Paragraphs>6</Paragraphs>
  <TotalTime>13</TotalTime>
  <ScaleCrop>false</ScaleCrop>
  <LinksUpToDate>false</LinksUpToDate>
  <CharactersWithSpaces>3078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2020-07-15T06:10:00Z</dcterms:created>
  <dc:creator>China</dc:creator>
  <cp:lastModifiedBy>不辣的皮皮特</cp:lastModifiedBy>
  <dcterms:modified xsi:type="dcterms:W3CDTF">2020-09-04T05:07:31Z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